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9F" w:rsidRDefault="00B5419F" w:rsidP="00B5419F">
      <w:pPr>
        <w:rPr>
          <w:rStyle w:val="TitleChar"/>
        </w:rPr>
      </w:pPr>
      <w:r>
        <w:rPr>
          <w:rStyle w:val="TitleChar"/>
        </w:rPr>
        <w:t>Overview</w:t>
      </w:r>
    </w:p>
    <w:p w:rsidR="005A4195" w:rsidRPr="00B5419F" w:rsidRDefault="0069273E" w:rsidP="00B5419F">
      <w:pPr>
        <w:rPr>
          <w:sz w:val="22"/>
          <w:szCs w:val="22"/>
        </w:rPr>
      </w:pPr>
      <w:r w:rsidRPr="00B5419F">
        <w:rPr>
          <w:sz w:val="22"/>
          <w:szCs w:val="22"/>
        </w:rPr>
        <w:t xml:space="preserve">This </w:t>
      </w:r>
      <w:r w:rsidR="00B771B9" w:rsidRPr="00B5419F">
        <w:rPr>
          <w:sz w:val="22"/>
          <w:szCs w:val="22"/>
        </w:rPr>
        <w:t>12-week, Continuing Ed</w:t>
      </w:r>
      <w:r w:rsidR="00FF7598" w:rsidRPr="00B5419F">
        <w:rPr>
          <w:sz w:val="22"/>
          <w:szCs w:val="22"/>
        </w:rPr>
        <w:t xml:space="preserve">ucation Program is fully online and </w:t>
      </w:r>
      <w:r w:rsidR="00972061" w:rsidRPr="00B5419F">
        <w:rPr>
          <w:sz w:val="22"/>
          <w:szCs w:val="22"/>
        </w:rPr>
        <w:t>introduces students to plann</w:t>
      </w:r>
      <w:r w:rsidR="00FF7598" w:rsidRPr="00B5419F">
        <w:rPr>
          <w:sz w:val="22"/>
          <w:szCs w:val="22"/>
        </w:rPr>
        <w:t xml:space="preserve">ing, organizing, delivering, and </w:t>
      </w:r>
      <w:r w:rsidR="00972061" w:rsidRPr="00B5419F">
        <w:rPr>
          <w:sz w:val="22"/>
          <w:szCs w:val="22"/>
        </w:rPr>
        <w:t>evaluating</w:t>
      </w:r>
      <w:r w:rsidR="00874FB1" w:rsidRPr="00B5419F">
        <w:rPr>
          <w:sz w:val="22"/>
          <w:szCs w:val="22"/>
        </w:rPr>
        <w:t xml:space="preserve"> special events</w:t>
      </w:r>
      <w:r w:rsidR="00835A58">
        <w:rPr>
          <w:sz w:val="22"/>
          <w:szCs w:val="22"/>
        </w:rPr>
        <w:t>.</w:t>
      </w:r>
    </w:p>
    <w:p w:rsidR="00FF7598" w:rsidRPr="00B5419F" w:rsidRDefault="00874FB1" w:rsidP="004C3EFE">
      <w:pPr>
        <w:rPr>
          <w:sz w:val="22"/>
          <w:szCs w:val="22"/>
        </w:rPr>
      </w:pPr>
      <w:r w:rsidRPr="00B5419F">
        <w:rPr>
          <w:sz w:val="22"/>
          <w:szCs w:val="22"/>
        </w:rPr>
        <w:t xml:space="preserve">The </w:t>
      </w:r>
      <w:r w:rsidR="006E63E7" w:rsidRPr="00B5419F">
        <w:rPr>
          <w:sz w:val="22"/>
          <w:szCs w:val="22"/>
        </w:rPr>
        <w:t xml:space="preserve">Special Event Planning program </w:t>
      </w:r>
      <w:r w:rsidR="0069273E" w:rsidRPr="00B5419F">
        <w:rPr>
          <w:sz w:val="22"/>
          <w:szCs w:val="22"/>
        </w:rPr>
        <w:t xml:space="preserve">consists of </w:t>
      </w:r>
      <w:r w:rsidR="00972061" w:rsidRPr="00B5419F">
        <w:rPr>
          <w:sz w:val="22"/>
          <w:szCs w:val="22"/>
        </w:rPr>
        <w:t>four</w:t>
      </w:r>
      <w:r w:rsidR="0069273E" w:rsidRPr="00B5419F">
        <w:rPr>
          <w:sz w:val="22"/>
          <w:szCs w:val="22"/>
        </w:rPr>
        <w:t xml:space="preserve"> </w:t>
      </w:r>
      <w:r w:rsidRPr="00B5419F">
        <w:rPr>
          <w:sz w:val="22"/>
          <w:szCs w:val="22"/>
        </w:rPr>
        <w:t xml:space="preserve">modules:  </w:t>
      </w:r>
      <w:r w:rsidR="00FF7598" w:rsidRPr="00B5419F">
        <w:rPr>
          <w:sz w:val="22"/>
          <w:szCs w:val="22"/>
        </w:rPr>
        <w:t>Best Practices in Special Event Management; Event Coordination, Event Marketing; Risk Management and Evaluation.  Over the 12 weeks, students will be introduced to the event planning process through weekly discussions and completion of simulation assignments for an even</w:t>
      </w:r>
      <w:r w:rsidR="008666F9">
        <w:rPr>
          <w:sz w:val="22"/>
          <w:szCs w:val="22"/>
        </w:rPr>
        <w:t>t</w:t>
      </w:r>
      <w:r w:rsidR="00FF7598" w:rsidRPr="00B5419F">
        <w:rPr>
          <w:sz w:val="22"/>
          <w:szCs w:val="22"/>
        </w:rPr>
        <w:t xml:space="preserve"> of their choice.</w:t>
      </w:r>
    </w:p>
    <w:p w:rsidR="00874FB1" w:rsidRPr="00B4236E" w:rsidRDefault="00B4236E" w:rsidP="00B5419F">
      <w:pPr>
        <w:pStyle w:val="Title"/>
      </w:pPr>
      <w:r w:rsidRPr="00B4236E">
        <w:t xml:space="preserve">Time and </w:t>
      </w:r>
      <w:r w:rsidR="00874FB1" w:rsidRPr="00B4236E">
        <w:t>Expectations</w:t>
      </w:r>
    </w:p>
    <w:p w:rsidR="0069273E" w:rsidRPr="006E63E7" w:rsidRDefault="00874FB1" w:rsidP="004C3EFE">
      <w:pPr>
        <w:rPr>
          <w:sz w:val="22"/>
          <w:szCs w:val="22"/>
        </w:rPr>
      </w:pPr>
      <w:r w:rsidRPr="006E63E7">
        <w:rPr>
          <w:sz w:val="22"/>
          <w:szCs w:val="22"/>
        </w:rPr>
        <w:t>The program has specific start and end dates and regular assignments due throughout the program.  Students should expect to spend a minimum of eight hours per week over the 12-week study period (</w:t>
      </w:r>
      <w:r w:rsidR="00B4236E" w:rsidRPr="006E63E7">
        <w:rPr>
          <w:sz w:val="22"/>
          <w:szCs w:val="22"/>
        </w:rPr>
        <w:t>96</w:t>
      </w:r>
      <w:r w:rsidRPr="006E63E7">
        <w:rPr>
          <w:sz w:val="22"/>
          <w:szCs w:val="22"/>
        </w:rPr>
        <w:t xml:space="preserve"> hours).  Time will be spent on readings, participating in on-line discussions with peers, browsing through course resources (PowerPoints, readings, links to websites), and exploring practical aspects of event planning by completing weekly Simulation Assignments.</w:t>
      </w:r>
    </w:p>
    <w:p w:rsidR="0069273E" w:rsidRPr="007D1D04" w:rsidRDefault="00B4236E" w:rsidP="00B5419F">
      <w:pPr>
        <w:pStyle w:val="Title"/>
      </w:pPr>
      <w:r w:rsidRPr="007D1D04">
        <w:t>Special Event Planning</w:t>
      </w:r>
      <w:r w:rsidR="0069273E" w:rsidRPr="007D1D04">
        <w:t xml:space="preserve"> Certificate</w:t>
      </w:r>
    </w:p>
    <w:p w:rsidR="0069273E" w:rsidRPr="006E63E7" w:rsidRDefault="0069273E" w:rsidP="0069273E">
      <w:pPr>
        <w:rPr>
          <w:sz w:val="22"/>
          <w:szCs w:val="22"/>
        </w:rPr>
      </w:pPr>
      <w:r w:rsidRPr="006E63E7">
        <w:rPr>
          <w:sz w:val="22"/>
          <w:szCs w:val="22"/>
        </w:rPr>
        <w:t xml:space="preserve">To earn </w:t>
      </w:r>
      <w:r w:rsidR="007D1D04" w:rsidRPr="006E63E7">
        <w:rPr>
          <w:sz w:val="22"/>
          <w:szCs w:val="22"/>
        </w:rPr>
        <w:t>the</w:t>
      </w:r>
      <w:r w:rsidRPr="006E63E7">
        <w:rPr>
          <w:sz w:val="22"/>
          <w:szCs w:val="22"/>
        </w:rPr>
        <w:t xml:space="preserve"> </w:t>
      </w:r>
      <w:r w:rsidR="00B4236E" w:rsidRPr="006E63E7">
        <w:rPr>
          <w:sz w:val="22"/>
          <w:szCs w:val="22"/>
        </w:rPr>
        <w:t xml:space="preserve">Special Event Planning </w:t>
      </w:r>
      <w:r w:rsidRPr="006E63E7">
        <w:rPr>
          <w:sz w:val="22"/>
          <w:szCs w:val="22"/>
        </w:rPr>
        <w:t xml:space="preserve">Certificate, you must </w:t>
      </w:r>
      <w:r w:rsidR="00B4236E" w:rsidRPr="006E63E7">
        <w:rPr>
          <w:sz w:val="22"/>
          <w:szCs w:val="22"/>
        </w:rPr>
        <w:t xml:space="preserve">successfully </w:t>
      </w:r>
      <w:r w:rsidRPr="006E63E7">
        <w:rPr>
          <w:sz w:val="22"/>
          <w:szCs w:val="22"/>
        </w:rPr>
        <w:t xml:space="preserve">complete </w:t>
      </w:r>
      <w:r w:rsidR="00B4236E" w:rsidRPr="006E63E7">
        <w:rPr>
          <w:sz w:val="22"/>
          <w:szCs w:val="22"/>
        </w:rPr>
        <w:t xml:space="preserve">all four </w:t>
      </w:r>
      <w:r w:rsidR="00B5419F">
        <w:rPr>
          <w:sz w:val="22"/>
          <w:szCs w:val="22"/>
        </w:rPr>
        <w:t xml:space="preserve">online </w:t>
      </w:r>
      <w:r w:rsidR="006E63E7">
        <w:rPr>
          <w:sz w:val="22"/>
          <w:szCs w:val="22"/>
        </w:rPr>
        <w:t>course</w:t>
      </w:r>
      <w:r w:rsidR="00B4236E" w:rsidRPr="006E63E7">
        <w:rPr>
          <w:sz w:val="22"/>
          <w:szCs w:val="22"/>
        </w:rPr>
        <w:t xml:space="preserve"> modules (three-weeks each with a minimum of 24 hours each)</w:t>
      </w:r>
      <w:r w:rsidRPr="006E63E7">
        <w:rPr>
          <w:sz w:val="22"/>
          <w:szCs w:val="22"/>
        </w:rPr>
        <w:t>:</w:t>
      </w:r>
    </w:p>
    <w:p w:rsidR="0069273E" w:rsidRPr="006E63E7" w:rsidRDefault="00B4236E" w:rsidP="004C3EFE">
      <w:pPr>
        <w:pStyle w:val="ListParagraph"/>
        <w:numPr>
          <w:ilvl w:val="0"/>
          <w:numId w:val="11"/>
        </w:numPr>
        <w:spacing w:before="120"/>
        <w:rPr>
          <w:sz w:val="22"/>
          <w:szCs w:val="22"/>
        </w:rPr>
      </w:pPr>
      <w:r w:rsidRPr="006E63E7">
        <w:rPr>
          <w:sz w:val="22"/>
          <w:szCs w:val="22"/>
        </w:rPr>
        <w:t>PVBM-1201: Best Practices in Special Event Management</w:t>
      </w:r>
    </w:p>
    <w:p w:rsidR="004C3EFE" w:rsidRPr="006E63E7" w:rsidRDefault="00B4236E" w:rsidP="004C3EFE">
      <w:pPr>
        <w:pStyle w:val="ListParagraph"/>
        <w:numPr>
          <w:ilvl w:val="0"/>
          <w:numId w:val="11"/>
        </w:numPr>
        <w:spacing w:before="120"/>
        <w:rPr>
          <w:sz w:val="22"/>
          <w:szCs w:val="22"/>
        </w:rPr>
      </w:pPr>
      <w:r w:rsidRPr="006E63E7">
        <w:rPr>
          <w:sz w:val="22"/>
          <w:szCs w:val="22"/>
        </w:rPr>
        <w:t>P</w:t>
      </w:r>
      <w:r w:rsidR="00CF3E08" w:rsidRPr="006E63E7">
        <w:rPr>
          <w:sz w:val="22"/>
          <w:szCs w:val="22"/>
        </w:rPr>
        <w:t>VBM-</w:t>
      </w:r>
      <w:r w:rsidRPr="006E63E7">
        <w:rPr>
          <w:sz w:val="22"/>
          <w:szCs w:val="22"/>
        </w:rPr>
        <w:t>1202: Event Coordination</w:t>
      </w:r>
    </w:p>
    <w:p w:rsidR="00B4236E" w:rsidRPr="006E63E7" w:rsidRDefault="00CF3E08" w:rsidP="004C3EFE">
      <w:pPr>
        <w:pStyle w:val="ListParagraph"/>
        <w:numPr>
          <w:ilvl w:val="0"/>
          <w:numId w:val="11"/>
        </w:numPr>
        <w:spacing w:before="120"/>
        <w:rPr>
          <w:sz w:val="22"/>
          <w:szCs w:val="22"/>
        </w:rPr>
      </w:pPr>
      <w:r w:rsidRPr="006E63E7">
        <w:rPr>
          <w:sz w:val="22"/>
          <w:szCs w:val="22"/>
        </w:rPr>
        <w:t>PVBM-</w:t>
      </w:r>
      <w:r w:rsidR="00B4236E" w:rsidRPr="006E63E7">
        <w:rPr>
          <w:sz w:val="22"/>
          <w:szCs w:val="22"/>
        </w:rPr>
        <w:t>1203: Event Marketing</w:t>
      </w:r>
    </w:p>
    <w:p w:rsidR="00B4236E" w:rsidRPr="006E63E7" w:rsidRDefault="00CF3E08" w:rsidP="004C3EFE">
      <w:pPr>
        <w:pStyle w:val="ListParagraph"/>
        <w:numPr>
          <w:ilvl w:val="0"/>
          <w:numId w:val="11"/>
        </w:numPr>
        <w:spacing w:before="120"/>
        <w:rPr>
          <w:sz w:val="22"/>
          <w:szCs w:val="22"/>
        </w:rPr>
      </w:pPr>
      <w:r w:rsidRPr="006E63E7">
        <w:rPr>
          <w:sz w:val="22"/>
          <w:szCs w:val="22"/>
        </w:rPr>
        <w:t xml:space="preserve">PVBM-1204: </w:t>
      </w:r>
      <w:r w:rsidR="00B4236E" w:rsidRPr="006E63E7">
        <w:rPr>
          <w:sz w:val="22"/>
          <w:szCs w:val="22"/>
        </w:rPr>
        <w:t>Risk Management and Evaluation</w:t>
      </w:r>
    </w:p>
    <w:p w:rsidR="00546ACD" w:rsidRPr="00CF3E08" w:rsidRDefault="00546ACD" w:rsidP="00B5419F">
      <w:pPr>
        <w:pStyle w:val="Title"/>
      </w:pPr>
      <w:r w:rsidRPr="00CF3E08">
        <w:t xml:space="preserve">Pre-requisites </w:t>
      </w:r>
      <w:r w:rsidR="00B5419F">
        <w:t xml:space="preserve">&amp; </w:t>
      </w:r>
      <w:r w:rsidR="00B5419F" w:rsidRPr="006E63E7">
        <w:t>Technical Requirements</w:t>
      </w:r>
    </w:p>
    <w:p w:rsidR="00546ACD" w:rsidRPr="006E63E7" w:rsidRDefault="00546ACD" w:rsidP="00546ACD">
      <w:pPr>
        <w:pStyle w:val="ListParagraph"/>
        <w:numPr>
          <w:ilvl w:val="0"/>
          <w:numId w:val="10"/>
        </w:numPr>
        <w:spacing w:before="120"/>
        <w:rPr>
          <w:sz w:val="22"/>
          <w:szCs w:val="22"/>
        </w:rPr>
      </w:pPr>
      <w:r w:rsidRPr="006E63E7">
        <w:rPr>
          <w:sz w:val="22"/>
          <w:szCs w:val="22"/>
        </w:rPr>
        <w:t xml:space="preserve">Adequate English communication skills and </w:t>
      </w:r>
      <w:r w:rsidR="008666F9">
        <w:rPr>
          <w:sz w:val="22"/>
          <w:szCs w:val="22"/>
        </w:rPr>
        <w:t>ability</w:t>
      </w:r>
      <w:r w:rsidRPr="006E63E7">
        <w:rPr>
          <w:sz w:val="22"/>
          <w:szCs w:val="22"/>
        </w:rPr>
        <w:t xml:space="preserve"> to read and write at a</w:t>
      </w:r>
      <w:r w:rsidR="008666F9">
        <w:rPr>
          <w:sz w:val="22"/>
          <w:szCs w:val="22"/>
        </w:rPr>
        <w:t xml:space="preserve"> post-secondary</w:t>
      </w:r>
      <w:r w:rsidRPr="006E63E7">
        <w:rPr>
          <w:sz w:val="22"/>
          <w:szCs w:val="22"/>
        </w:rPr>
        <w:t xml:space="preserve"> level</w:t>
      </w:r>
    </w:p>
    <w:p w:rsidR="006E63E7" w:rsidRPr="006E63E7" w:rsidRDefault="007D1D04" w:rsidP="006E63E7">
      <w:pPr>
        <w:pStyle w:val="ListParagraph"/>
        <w:numPr>
          <w:ilvl w:val="0"/>
          <w:numId w:val="10"/>
        </w:numPr>
        <w:rPr>
          <w:rFonts w:cs="Trebuchet MS"/>
          <w:sz w:val="22"/>
          <w:szCs w:val="22"/>
        </w:rPr>
      </w:pPr>
      <w:r w:rsidRPr="006E63E7">
        <w:rPr>
          <w:rFonts w:cs="Trebuchet MS"/>
          <w:sz w:val="22"/>
          <w:szCs w:val="22"/>
        </w:rPr>
        <w:t>Basic Computer Skills</w:t>
      </w:r>
      <w:r w:rsidR="006E63E7" w:rsidRPr="006E63E7">
        <w:rPr>
          <w:rFonts w:cs="Trebuchet MS"/>
          <w:sz w:val="22"/>
          <w:szCs w:val="22"/>
        </w:rPr>
        <w:t xml:space="preserve"> (</w:t>
      </w:r>
      <w:r w:rsidR="008666F9">
        <w:rPr>
          <w:rFonts w:cs="Trebuchet MS"/>
          <w:sz w:val="22"/>
          <w:szCs w:val="22"/>
        </w:rPr>
        <w:t>U</w:t>
      </w:r>
      <w:r w:rsidR="006E63E7" w:rsidRPr="006E63E7">
        <w:rPr>
          <w:rFonts w:cs="Trebuchet MS"/>
          <w:sz w:val="22"/>
          <w:szCs w:val="22"/>
        </w:rPr>
        <w:t>se a web browser and word processor, send and receive emails</w:t>
      </w:r>
      <w:r w:rsidR="008666F9">
        <w:rPr>
          <w:rFonts w:cs="Trebuchet MS"/>
          <w:sz w:val="22"/>
          <w:szCs w:val="22"/>
        </w:rPr>
        <w:t>,</w:t>
      </w:r>
      <w:r w:rsidR="008666F9" w:rsidRPr="008666F9">
        <w:rPr>
          <w:rFonts w:cs="Trebuchet MS"/>
          <w:sz w:val="22"/>
          <w:szCs w:val="22"/>
        </w:rPr>
        <w:t xml:space="preserve"> </w:t>
      </w:r>
      <w:r w:rsidR="008666F9">
        <w:rPr>
          <w:rFonts w:cs="Trebuchet MS"/>
          <w:sz w:val="22"/>
          <w:szCs w:val="22"/>
        </w:rPr>
        <w:t>create, save</w:t>
      </w:r>
      <w:r w:rsidR="008666F9" w:rsidRPr="006E63E7">
        <w:rPr>
          <w:rFonts w:cs="Trebuchet MS"/>
          <w:sz w:val="22"/>
          <w:szCs w:val="22"/>
        </w:rPr>
        <w:t xml:space="preserve"> and upload a file</w:t>
      </w:r>
      <w:r w:rsidR="008666F9">
        <w:rPr>
          <w:rFonts w:cs="Trebuchet MS"/>
          <w:sz w:val="22"/>
          <w:szCs w:val="22"/>
        </w:rPr>
        <w:t>s</w:t>
      </w:r>
      <w:r w:rsidR="006E63E7" w:rsidRPr="006E63E7">
        <w:rPr>
          <w:rFonts w:cs="Trebuchet MS"/>
          <w:sz w:val="22"/>
          <w:szCs w:val="22"/>
        </w:rPr>
        <w:t>)</w:t>
      </w:r>
    </w:p>
    <w:p w:rsidR="006E63E7" w:rsidRPr="006E63E7" w:rsidRDefault="006E63E7" w:rsidP="006E63E7">
      <w:pPr>
        <w:pStyle w:val="ListParagraph"/>
        <w:numPr>
          <w:ilvl w:val="0"/>
          <w:numId w:val="10"/>
        </w:numPr>
        <w:rPr>
          <w:rFonts w:cs="Arial"/>
          <w:b/>
          <w:color w:val="000000" w:themeColor="text1"/>
          <w:sz w:val="22"/>
          <w:szCs w:val="22"/>
        </w:rPr>
      </w:pPr>
      <w:r w:rsidRPr="006E63E7">
        <w:rPr>
          <w:rFonts w:cs="Trebuchet MS"/>
          <w:sz w:val="22"/>
          <w:szCs w:val="22"/>
        </w:rPr>
        <w:t>C</w:t>
      </w:r>
      <w:r w:rsidR="007D1D04" w:rsidRPr="006E63E7">
        <w:rPr>
          <w:rFonts w:cs="Trebuchet MS"/>
          <w:sz w:val="22"/>
          <w:szCs w:val="22"/>
        </w:rPr>
        <w:t xml:space="preserve">omfortable using Microsoft </w:t>
      </w:r>
      <w:r w:rsidR="008666F9">
        <w:rPr>
          <w:rFonts w:cs="Trebuchet MS"/>
          <w:sz w:val="22"/>
          <w:szCs w:val="22"/>
        </w:rPr>
        <w:t xml:space="preserve">/ Apple Word possessing </w:t>
      </w:r>
      <w:r w:rsidR="007D1D04" w:rsidRPr="006E63E7">
        <w:rPr>
          <w:rFonts w:cs="Trebuchet MS"/>
          <w:sz w:val="22"/>
          <w:szCs w:val="22"/>
        </w:rPr>
        <w:t>programs (</w:t>
      </w:r>
      <w:r w:rsidRPr="006E63E7">
        <w:rPr>
          <w:rFonts w:cs="Trebuchet MS"/>
          <w:sz w:val="22"/>
          <w:szCs w:val="22"/>
        </w:rPr>
        <w:t>Word, Excel, PowerPoint, Email)</w:t>
      </w:r>
    </w:p>
    <w:p w:rsidR="008666F9" w:rsidRPr="008666F9" w:rsidRDefault="006E63E7" w:rsidP="008666F9">
      <w:pPr>
        <w:pStyle w:val="ListParagraph"/>
        <w:numPr>
          <w:ilvl w:val="0"/>
          <w:numId w:val="20"/>
        </w:numPr>
        <w:rPr>
          <w:sz w:val="22"/>
          <w:szCs w:val="22"/>
          <w:lang w:val="en"/>
        </w:rPr>
      </w:pPr>
      <w:r w:rsidRPr="006E63E7">
        <w:rPr>
          <w:sz w:val="22"/>
          <w:szCs w:val="22"/>
          <w:lang w:val="en"/>
        </w:rPr>
        <w:t xml:space="preserve">Reliable computer </w:t>
      </w:r>
      <w:r w:rsidR="008666F9">
        <w:rPr>
          <w:sz w:val="22"/>
          <w:szCs w:val="22"/>
          <w:lang w:val="en"/>
        </w:rPr>
        <w:t>and</w:t>
      </w:r>
      <w:r w:rsidRPr="006E63E7">
        <w:rPr>
          <w:sz w:val="22"/>
          <w:szCs w:val="22"/>
          <w:lang w:val="en"/>
        </w:rPr>
        <w:t xml:space="preserve"> internet</w:t>
      </w:r>
      <w:r w:rsidR="008666F9">
        <w:rPr>
          <w:sz w:val="22"/>
          <w:szCs w:val="22"/>
          <w:lang w:val="en"/>
        </w:rPr>
        <w:t xml:space="preserve"> connection for the duration of the course</w:t>
      </w:r>
    </w:p>
    <w:p w:rsidR="0069273E" w:rsidRPr="005947D7" w:rsidRDefault="0069273E" w:rsidP="00B5419F">
      <w:pPr>
        <w:pStyle w:val="Title"/>
      </w:pPr>
      <w:r w:rsidRPr="005947D7">
        <w:t xml:space="preserve">Required </w:t>
      </w:r>
      <w:r w:rsidR="00B5419F">
        <w:t>T</w:t>
      </w:r>
      <w:r w:rsidRPr="005947D7">
        <w:t>exts or Materials</w:t>
      </w:r>
    </w:p>
    <w:p w:rsidR="00546ACD" w:rsidRPr="005947D7" w:rsidRDefault="006E63E7" w:rsidP="005947D7">
      <w:pPr>
        <w:rPr>
          <w:b/>
          <w:sz w:val="22"/>
          <w:szCs w:val="22"/>
        </w:rPr>
      </w:pPr>
      <w:r w:rsidRPr="006E63E7">
        <w:rPr>
          <w:sz w:val="22"/>
          <w:szCs w:val="22"/>
        </w:rPr>
        <w:t>All readings/course materials are online and provided within the program.</w:t>
      </w:r>
    </w:p>
    <w:p w:rsidR="00E6350C" w:rsidRPr="00E6350C" w:rsidRDefault="005947D7" w:rsidP="00E6350C">
      <w:pPr>
        <w:pStyle w:val="Title"/>
        <w:spacing w:after="120"/>
      </w:pPr>
      <w: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3465"/>
      </w:tblGrid>
      <w:tr w:rsidR="009905B6" w:rsidRPr="005947D7" w:rsidTr="009905B6">
        <w:tc>
          <w:tcPr>
            <w:tcW w:w="4950" w:type="dxa"/>
          </w:tcPr>
          <w:p w:rsidR="009905B6" w:rsidRPr="005947D7" w:rsidRDefault="009905B6" w:rsidP="005947D7">
            <w:pPr>
              <w:spacing w:before="0"/>
              <w:rPr>
                <w:sz w:val="22"/>
                <w:szCs w:val="22"/>
              </w:rPr>
            </w:pPr>
            <w:r>
              <w:rPr>
                <w:sz w:val="22"/>
                <w:szCs w:val="22"/>
              </w:rPr>
              <w:t>Program Administration:</w:t>
            </w:r>
          </w:p>
        </w:tc>
        <w:tc>
          <w:tcPr>
            <w:tcW w:w="270" w:type="dxa"/>
          </w:tcPr>
          <w:p w:rsidR="009905B6" w:rsidRPr="005947D7" w:rsidRDefault="009905B6" w:rsidP="005947D7">
            <w:pPr>
              <w:spacing w:before="0"/>
              <w:rPr>
                <w:sz w:val="22"/>
                <w:szCs w:val="22"/>
              </w:rPr>
            </w:pPr>
          </w:p>
        </w:tc>
        <w:tc>
          <w:tcPr>
            <w:tcW w:w="3465" w:type="dxa"/>
          </w:tcPr>
          <w:p w:rsidR="009905B6" w:rsidRPr="005947D7" w:rsidRDefault="009905B6" w:rsidP="005947D7">
            <w:pPr>
              <w:spacing w:before="0"/>
              <w:rPr>
                <w:sz w:val="22"/>
                <w:szCs w:val="22"/>
              </w:rPr>
            </w:pPr>
            <w:r>
              <w:rPr>
                <w:sz w:val="22"/>
                <w:szCs w:val="22"/>
              </w:rPr>
              <w:t>Instructor:</w:t>
            </w:r>
          </w:p>
        </w:tc>
      </w:tr>
      <w:tr w:rsidR="009905B6" w:rsidRPr="005947D7" w:rsidTr="009905B6">
        <w:tc>
          <w:tcPr>
            <w:tcW w:w="4950" w:type="dxa"/>
          </w:tcPr>
          <w:p w:rsidR="009905B6" w:rsidRPr="009905B6" w:rsidRDefault="009905B6" w:rsidP="009905B6">
            <w:pPr>
              <w:spacing w:before="100" w:beforeAutospacing="1" w:after="100" w:afterAutospacing="1"/>
              <w:contextualSpacing/>
              <w:rPr>
                <w:rFonts w:eastAsiaTheme="minorEastAsia"/>
                <w:noProof/>
                <w:sz w:val="22"/>
                <w:szCs w:val="22"/>
                <w:lang w:eastAsia="en-US"/>
              </w:rPr>
            </w:pPr>
            <w:r w:rsidRPr="005947D7">
              <w:rPr>
                <w:rFonts w:eastAsiaTheme="minorEastAsia"/>
                <w:noProof/>
                <w:color w:val="22888A"/>
                <w:sz w:val="22"/>
                <w:szCs w:val="22"/>
                <w:lang w:val="en-CA"/>
              </w:rPr>
              <w:t xml:space="preserve">College of the Rockies </w:t>
            </w:r>
            <w:r w:rsidRPr="005947D7">
              <w:rPr>
                <w:rFonts w:eastAsiaTheme="minorEastAsia"/>
                <w:noProof/>
                <w:color w:val="385623"/>
                <w:sz w:val="22"/>
                <w:szCs w:val="22"/>
                <w:lang w:val="en-CA"/>
              </w:rPr>
              <w:t xml:space="preserve">| </w:t>
            </w:r>
            <w:r w:rsidRPr="005947D7">
              <w:rPr>
                <w:rFonts w:eastAsiaTheme="minorEastAsia"/>
                <w:noProof/>
                <w:color w:val="22888A"/>
                <w:sz w:val="22"/>
                <w:szCs w:val="22"/>
                <w:lang w:val="en-CA"/>
              </w:rPr>
              <w:t>Kimberley Campus</w:t>
            </w:r>
          </w:p>
        </w:tc>
        <w:tc>
          <w:tcPr>
            <w:tcW w:w="270" w:type="dxa"/>
          </w:tcPr>
          <w:p w:rsidR="009905B6" w:rsidRPr="005947D7" w:rsidRDefault="009905B6" w:rsidP="005947D7">
            <w:pPr>
              <w:spacing w:before="0"/>
              <w:rPr>
                <w:sz w:val="22"/>
                <w:szCs w:val="22"/>
              </w:rPr>
            </w:pPr>
          </w:p>
        </w:tc>
        <w:tc>
          <w:tcPr>
            <w:tcW w:w="3465" w:type="dxa"/>
          </w:tcPr>
          <w:p w:rsidR="009905B6" w:rsidRPr="005947D7" w:rsidRDefault="00D2724B" w:rsidP="005947D7">
            <w:pPr>
              <w:spacing w:before="0"/>
              <w:rPr>
                <w:sz w:val="22"/>
                <w:szCs w:val="22"/>
              </w:rPr>
            </w:pPr>
            <w:hyperlink r:id="rId8" w:history="1">
              <w:r w:rsidR="009905B6" w:rsidRPr="009905B6">
                <w:rPr>
                  <w:rStyle w:val="Hyperlink"/>
                  <w:sz w:val="22"/>
                  <w:szCs w:val="22"/>
                  <w14:textFill>
                    <w14:solidFill>
                      <w14:srgbClr w14:val="0000FF">
                        <w14:lumMod w14:val="75000"/>
                      </w14:srgbClr>
                    </w14:solidFill>
                  </w14:textFill>
                </w:rPr>
                <w:t>Erin Wilkins, BA, MBA</w:t>
              </w:r>
            </w:hyperlink>
          </w:p>
        </w:tc>
      </w:tr>
      <w:tr w:rsidR="009905B6" w:rsidRPr="005947D7" w:rsidTr="009905B6">
        <w:tc>
          <w:tcPr>
            <w:tcW w:w="4950" w:type="dxa"/>
          </w:tcPr>
          <w:p w:rsidR="009905B6" w:rsidRPr="005947D7" w:rsidRDefault="009905B6" w:rsidP="009905B6">
            <w:pPr>
              <w:spacing w:before="100" w:beforeAutospacing="1" w:after="100" w:afterAutospacing="1"/>
              <w:contextualSpacing/>
              <w:rPr>
                <w:rFonts w:eastAsiaTheme="minorEastAsia"/>
                <w:noProof/>
                <w:sz w:val="22"/>
                <w:szCs w:val="22"/>
              </w:rPr>
            </w:pPr>
            <w:r w:rsidRPr="005947D7">
              <w:rPr>
                <w:rFonts w:eastAsiaTheme="minorEastAsia"/>
                <w:noProof/>
                <w:color w:val="22888A"/>
                <w:sz w:val="22"/>
                <w:szCs w:val="22"/>
                <w:lang w:val="en-CA"/>
              </w:rPr>
              <w:t>250-427-7116 x3752</w:t>
            </w:r>
            <w:r w:rsidRPr="005947D7">
              <w:rPr>
                <w:rFonts w:eastAsiaTheme="minorEastAsia"/>
                <w:noProof/>
                <w:color w:val="385623"/>
                <w:sz w:val="22"/>
                <w:szCs w:val="22"/>
                <w:lang w:val="en-CA"/>
              </w:rPr>
              <w:t> |</w:t>
            </w:r>
            <w:r w:rsidRPr="005947D7">
              <w:rPr>
                <w:rFonts w:eastAsiaTheme="minorEastAsia"/>
                <w:b/>
                <w:bCs/>
                <w:noProof/>
                <w:color w:val="385623"/>
                <w:sz w:val="22"/>
                <w:szCs w:val="22"/>
                <w:lang w:val="en-CA"/>
              </w:rPr>
              <w:t xml:space="preserve"> </w:t>
            </w:r>
            <w:r w:rsidRPr="005947D7">
              <w:rPr>
                <w:rFonts w:eastAsiaTheme="minorEastAsia"/>
                <w:noProof/>
                <w:color w:val="22888A"/>
                <w:sz w:val="22"/>
                <w:szCs w:val="22"/>
                <w:lang w:val="en-CA"/>
              </w:rPr>
              <w:t>1-877-489-2687</w:t>
            </w:r>
          </w:p>
          <w:p w:rsidR="009905B6" w:rsidRPr="005947D7" w:rsidRDefault="00D2724B" w:rsidP="009905B6">
            <w:pPr>
              <w:spacing w:before="0"/>
              <w:rPr>
                <w:sz w:val="22"/>
                <w:szCs w:val="22"/>
              </w:rPr>
            </w:pPr>
            <w:hyperlink r:id="rId9" w:history="1">
              <w:r w:rsidR="009905B6" w:rsidRPr="005947D7">
                <w:rPr>
                  <w:rStyle w:val="Hyperlink"/>
                  <w:rFonts w:eastAsiaTheme="minorEastAsia"/>
                  <w:noProof/>
                  <w:sz w:val="22"/>
                  <w:szCs w:val="22"/>
                  <w:lang w:val="en-CA"/>
                </w:rPr>
                <w:t>http://www.cotr.bc.ca/sepac</w:t>
              </w:r>
            </w:hyperlink>
            <w:r w:rsidR="009905B6" w:rsidRPr="005947D7">
              <w:rPr>
                <w:rFonts w:eastAsiaTheme="minorEastAsia"/>
                <w:noProof/>
                <w:color w:val="22888A"/>
                <w:sz w:val="22"/>
                <w:szCs w:val="22"/>
                <w:lang w:val="en-CA"/>
              </w:rPr>
              <w:t xml:space="preserve">| </w:t>
            </w:r>
            <w:hyperlink r:id="rId10" w:history="1">
              <w:r w:rsidR="009905B6" w:rsidRPr="005947D7">
                <w:rPr>
                  <w:rStyle w:val="Hyperlink"/>
                  <w:rFonts w:eastAsiaTheme="minorEastAsia"/>
                  <w:noProof/>
                  <w:sz w:val="22"/>
                  <w:szCs w:val="22"/>
                  <w:lang w:val="en-CA"/>
                </w:rPr>
                <w:t>kimberley@cotr.bc.ca</w:t>
              </w:r>
            </w:hyperlink>
          </w:p>
        </w:tc>
        <w:tc>
          <w:tcPr>
            <w:tcW w:w="270" w:type="dxa"/>
          </w:tcPr>
          <w:p w:rsidR="009905B6" w:rsidRPr="005947D7" w:rsidRDefault="009905B6" w:rsidP="005947D7">
            <w:pPr>
              <w:spacing w:before="0"/>
              <w:rPr>
                <w:sz w:val="22"/>
                <w:szCs w:val="22"/>
              </w:rPr>
            </w:pPr>
          </w:p>
        </w:tc>
        <w:tc>
          <w:tcPr>
            <w:tcW w:w="3465" w:type="dxa"/>
          </w:tcPr>
          <w:p w:rsidR="009905B6" w:rsidRPr="005947D7" w:rsidRDefault="009905B6" w:rsidP="005947D7">
            <w:pPr>
              <w:spacing w:before="0"/>
              <w:rPr>
                <w:sz w:val="22"/>
                <w:szCs w:val="22"/>
              </w:rPr>
            </w:pPr>
          </w:p>
        </w:tc>
      </w:tr>
    </w:tbl>
    <w:p w:rsidR="000377F3" w:rsidRPr="00633D48" w:rsidRDefault="000377F3" w:rsidP="009905B6">
      <w:pPr>
        <w:tabs>
          <w:tab w:val="left" w:pos="-6210"/>
          <w:tab w:val="right" w:pos="10800"/>
        </w:tabs>
      </w:pPr>
      <w:r w:rsidRPr="00633D48">
        <w:t xml:space="preserve"> </w:t>
      </w:r>
    </w:p>
    <w:p w:rsidR="0069273E" w:rsidRPr="002A4F3A" w:rsidRDefault="0069273E" w:rsidP="002A4F3A">
      <w:pPr>
        <w:rPr>
          <w:rStyle w:val="TitleChar"/>
        </w:rPr>
      </w:pPr>
      <w:r>
        <w:rPr>
          <w:rFonts w:ascii="Arial" w:hAnsi="Arial" w:cs="Arial"/>
        </w:rPr>
        <w:br w:type="page"/>
      </w:r>
      <w:r w:rsidR="0089637F">
        <w:rPr>
          <w:rStyle w:val="TitleChar"/>
        </w:rPr>
        <w:lastRenderedPageBreak/>
        <w:t>C</w:t>
      </w:r>
      <w:r w:rsidR="00EF35A1">
        <w:rPr>
          <w:rStyle w:val="TitleChar"/>
        </w:rPr>
        <w:t>ourse Content</w:t>
      </w:r>
    </w:p>
    <w:p w:rsidR="0069273E" w:rsidRPr="007A53D6" w:rsidRDefault="00EF35A1" w:rsidP="007A53D6">
      <w:pPr>
        <w:pStyle w:val="Subtitle"/>
        <w:rPr>
          <w:color w:val="auto"/>
        </w:rPr>
      </w:pPr>
      <w:r w:rsidRPr="007A53D6">
        <w:rPr>
          <w:color w:val="auto"/>
        </w:rPr>
        <w:t>Module 1</w:t>
      </w:r>
      <w:r w:rsidR="00E6350C">
        <w:rPr>
          <w:color w:val="auto"/>
        </w:rPr>
        <w:t>: PVBM-</w:t>
      </w:r>
      <w:r w:rsidRPr="007A53D6">
        <w:rPr>
          <w:color w:val="auto"/>
        </w:rPr>
        <w:t>1201</w:t>
      </w:r>
      <w:r w:rsidR="00E6350C">
        <w:rPr>
          <w:color w:val="auto"/>
        </w:rPr>
        <w:t xml:space="preserve"> </w:t>
      </w:r>
      <w:r w:rsidRPr="007A53D6">
        <w:rPr>
          <w:color w:val="auto"/>
        </w:rPr>
        <w:t xml:space="preserve">Best Practices in Special Event Management </w:t>
      </w:r>
    </w:p>
    <w:p w:rsidR="00EF35A1" w:rsidRPr="00EF35A1" w:rsidRDefault="00EF35A1" w:rsidP="00B64E9D">
      <w:pPr>
        <w:spacing w:before="0"/>
      </w:pPr>
    </w:p>
    <w:p w:rsidR="00EF35A1" w:rsidRPr="00EF35A1" w:rsidRDefault="00B64E9D" w:rsidP="00EF35A1">
      <w:pPr>
        <w:pStyle w:val="Heading1"/>
        <w:spacing w:before="0"/>
        <w:rPr>
          <w:b w:val="0"/>
          <w:sz w:val="22"/>
          <w:szCs w:val="22"/>
          <w:u w:val="none"/>
        </w:rPr>
      </w:pPr>
      <w:r>
        <w:rPr>
          <w:b w:val="0"/>
          <w:sz w:val="22"/>
          <w:szCs w:val="22"/>
          <w:u w:val="none"/>
        </w:rPr>
        <w:t xml:space="preserve">In Module 1, </w:t>
      </w:r>
      <w:r w:rsidR="00EF35A1" w:rsidRPr="00EF35A1">
        <w:rPr>
          <w:b w:val="0"/>
          <w:sz w:val="22"/>
          <w:szCs w:val="22"/>
          <w:u w:val="none"/>
        </w:rPr>
        <w:t>you</w:t>
      </w:r>
      <w:r w:rsidR="00EF35A1">
        <w:rPr>
          <w:b w:val="0"/>
          <w:sz w:val="22"/>
          <w:szCs w:val="22"/>
          <w:u w:val="none"/>
        </w:rPr>
        <w:t xml:space="preserve"> will establish the </w:t>
      </w:r>
      <w:r w:rsidR="00EF35A1" w:rsidRPr="00EF35A1">
        <w:rPr>
          <w:b w:val="0"/>
          <w:sz w:val="22"/>
          <w:szCs w:val="22"/>
          <w:u w:val="none"/>
        </w:rPr>
        <w:t>theoretical and practical</w:t>
      </w:r>
      <w:r w:rsidR="00EF35A1">
        <w:rPr>
          <w:b w:val="0"/>
          <w:sz w:val="22"/>
          <w:szCs w:val="22"/>
          <w:u w:val="none"/>
        </w:rPr>
        <w:t xml:space="preserve"> </w:t>
      </w:r>
      <w:r w:rsidR="00EF35A1" w:rsidRPr="00EF35A1">
        <w:rPr>
          <w:b w:val="0"/>
          <w:sz w:val="22"/>
          <w:szCs w:val="22"/>
          <w:u w:val="none"/>
        </w:rPr>
        <w:t>foundation for special event planning</w:t>
      </w:r>
      <w:r w:rsidR="008666F9">
        <w:rPr>
          <w:b w:val="0"/>
          <w:sz w:val="22"/>
          <w:szCs w:val="22"/>
          <w:u w:val="none"/>
        </w:rPr>
        <w:t xml:space="preserve">. </w:t>
      </w:r>
      <w:r w:rsidR="00EF35A1">
        <w:rPr>
          <w:b w:val="0"/>
          <w:sz w:val="22"/>
          <w:szCs w:val="22"/>
          <w:u w:val="none"/>
        </w:rPr>
        <w:t xml:space="preserve">Students </w:t>
      </w:r>
      <w:r w:rsidR="00EF35A1" w:rsidRPr="00EF35A1">
        <w:rPr>
          <w:b w:val="0"/>
          <w:sz w:val="22"/>
          <w:szCs w:val="22"/>
          <w:u w:val="none"/>
        </w:rPr>
        <w:t>will be introduced to</w:t>
      </w:r>
      <w:r w:rsidR="00EF35A1">
        <w:rPr>
          <w:b w:val="0"/>
          <w:sz w:val="22"/>
          <w:szCs w:val="22"/>
          <w:u w:val="none"/>
        </w:rPr>
        <w:t xml:space="preserve"> </w:t>
      </w:r>
      <w:r w:rsidR="00EF35A1" w:rsidRPr="00EF35A1">
        <w:rPr>
          <w:b w:val="0"/>
          <w:sz w:val="22"/>
          <w:szCs w:val="22"/>
          <w:u w:val="none"/>
        </w:rPr>
        <w:t>different types of special events, learn</w:t>
      </w:r>
      <w:r w:rsidR="00EF35A1">
        <w:rPr>
          <w:b w:val="0"/>
          <w:sz w:val="22"/>
          <w:szCs w:val="22"/>
          <w:u w:val="none"/>
        </w:rPr>
        <w:t xml:space="preserve"> </w:t>
      </w:r>
      <w:r w:rsidR="00EF35A1" w:rsidRPr="00EF35A1">
        <w:rPr>
          <w:b w:val="0"/>
          <w:sz w:val="22"/>
          <w:szCs w:val="22"/>
          <w:u w:val="none"/>
        </w:rPr>
        <w:t>how to conceptualize a special event, and examine</w:t>
      </w:r>
      <w:r w:rsidR="00EF35A1">
        <w:rPr>
          <w:b w:val="0"/>
          <w:sz w:val="22"/>
          <w:szCs w:val="22"/>
          <w:u w:val="none"/>
        </w:rPr>
        <w:t xml:space="preserve"> </w:t>
      </w:r>
      <w:r w:rsidR="00EF35A1" w:rsidRPr="00EF35A1">
        <w:rPr>
          <w:b w:val="0"/>
          <w:sz w:val="22"/>
          <w:szCs w:val="22"/>
          <w:u w:val="none"/>
        </w:rPr>
        <w:t>strategic planning for special events.</w:t>
      </w:r>
    </w:p>
    <w:p w:rsidR="0069273E" w:rsidRPr="00A81528" w:rsidRDefault="0069273E" w:rsidP="000A6707">
      <w:pPr>
        <w:pStyle w:val="Heading1"/>
        <w:rPr>
          <w:b w:val="0"/>
          <w:u w:val="none"/>
        </w:rPr>
      </w:pPr>
      <w:r w:rsidRPr="00EF35A1">
        <w:rPr>
          <w:u w:val="none"/>
        </w:rPr>
        <w:t>Learning Outcomes</w:t>
      </w:r>
    </w:p>
    <w:p w:rsidR="00EF35A1" w:rsidRPr="00C51374" w:rsidRDefault="00EF35A1" w:rsidP="00EF35A1">
      <w:pPr>
        <w:spacing w:before="0"/>
        <w:rPr>
          <w:sz w:val="22"/>
          <w:szCs w:val="22"/>
        </w:rPr>
      </w:pPr>
      <w:r w:rsidRPr="00C51374">
        <w:rPr>
          <w:sz w:val="22"/>
          <w:szCs w:val="22"/>
        </w:rPr>
        <w:t>At the end of Module 1, the student will be able to:</w:t>
      </w:r>
    </w:p>
    <w:p w:rsidR="00EF35A1" w:rsidRPr="00C51374" w:rsidRDefault="00EF35A1" w:rsidP="00EF35A1">
      <w:pPr>
        <w:spacing w:before="0"/>
        <w:rPr>
          <w:sz w:val="22"/>
          <w:szCs w:val="22"/>
        </w:rPr>
      </w:pPr>
    </w:p>
    <w:p w:rsidR="00EF35A1" w:rsidRPr="00C51374" w:rsidRDefault="00EF35A1" w:rsidP="00EF35A1">
      <w:pPr>
        <w:pStyle w:val="ListParagraph"/>
        <w:numPr>
          <w:ilvl w:val="0"/>
          <w:numId w:val="22"/>
        </w:numPr>
        <w:spacing w:before="0"/>
        <w:rPr>
          <w:sz w:val="22"/>
          <w:szCs w:val="22"/>
        </w:rPr>
      </w:pPr>
      <w:r w:rsidRPr="00C51374">
        <w:rPr>
          <w:sz w:val="22"/>
          <w:szCs w:val="22"/>
        </w:rPr>
        <w:t xml:space="preserve">Define special events and distinguish between different kinds of special events </w:t>
      </w:r>
    </w:p>
    <w:p w:rsidR="00EF35A1" w:rsidRPr="00C51374" w:rsidRDefault="00EF35A1" w:rsidP="00EF35A1">
      <w:pPr>
        <w:pStyle w:val="ListParagraph"/>
        <w:numPr>
          <w:ilvl w:val="0"/>
          <w:numId w:val="22"/>
        </w:numPr>
        <w:spacing w:before="0"/>
        <w:rPr>
          <w:sz w:val="22"/>
          <w:szCs w:val="22"/>
        </w:rPr>
      </w:pPr>
      <w:r w:rsidRPr="00C51374">
        <w:rPr>
          <w:sz w:val="22"/>
          <w:szCs w:val="22"/>
        </w:rPr>
        <w:t xml:space="preserve">Identify the major impacts which special events have on their stakeholders and host communities </w:t>
      </w:r>
    </w:p>
    <w:p w:rsidR="00EF35A1" w:rsidRPr="00C51374" w:rsidRDefault="00EF35A1" w:rsidP="00EF35A1">
      <w:pPr>
        <w:pStyle w:val="ListParagraph"/>
        <w:numPr>
          <w:ilvl w:val="0"/>
          <w:numId w:val="22"/>
        </w:numPr>
        <w:spacing w:before="0"/>
        <w:rPr>
          <w:sz w:val="22"/>
          <w:szCs w:val="22"/>
        </w:rPr>
      </w:pPr>
      <w:r w:rsidRPr="00C51374">
        <w:rPr>
          <w:sz w:val="22"/>
          <w:szCs w:val="22"/>
        </w:rPr>
        <w:t>Discuss the importance of the strategic planning process in achieving desired outcomes</w:t>
      </w:r>
    </w:p>
    <w:p w:rsidR="00EF35A1" w:rsidRPr="00C51374" w:rsidRDefault="00EF35A1" w:rsidP="00EF35A1">
      <w:pPr>
        <w:pStyle w:val="ListParagraph"/>
        <w:numPr>
          <w:ilvl w:val="0"/>
          <w:numId w:val="22"/>
        </w:numPr>
        <w:spacing w:before="0"/>
        <w:rPr>
          <w:sz w:val="22"/>
          <w:szCs w:val="22"/>
        </w:rPr>
      </w:pPr>
      <w:r w:rsidRPr="00C51374">
        <w:rPr>
          <w:sz w:val="22"/>
          <w:szCs w:val="22"/>
        </w:rPr>
        <w:t>Construct an appropriate vision and mission for a special event and write  SMART goals and objective</w:t>
      </w:r>
    </w:p>
    <w:p w:rsidR="00EF35A1" w:rsidRPr="00C51374" w:rsidRDefault="00EF35A1" w:rsidP="00EF35A1">
      <w:pPr>
        <w:pStyle w:val="ListParagraph"/>
        <w:numPr>
          <w:ilvl w:val="0"/>
          <w:numId w:val="22"/>
        </w:numPr>
        <w:spacing w:before="0"/>
        <w:rPr>
          <w:sz w:val="22"/>
          <w:szCs w:val="22"/>
        </w:rPr>
      </w:pPr>
      <w:r w:rsidRPr="00C51374">
        <w:rPr>
          <w:sz w:val="22"/>
          <w:szCs w:val="22"/>
        </w:rPr>
        <w:t>Describe what a feasibility study is</w:t>
      </w:r>
    </w:p>
    <w:p w:rsidR="00EF35A1" w:rsidRPr="00C51374" w:rsidRDefault="008666F9" w:rsidP="00EF35A1">
      <w:pPr>
        <w:pStyle w:val="ListParagraph"/>
        <w:numPr>
          <w:ilvl w:val="0"/>
          <w:numId w:val="22"/>
        </w:numPr>
        <w:spacing w:before="0"/>
        <w:rPr>
          <w:sz w:val="22"/>
          <w:szCs w:val="22"/>
        </w:rPr>
      </w:pPr>
      <w:r>
        <w:rPr>
          <w:sz w:val="22"/>
          <w:szCs w:val="22"/>
        </w:rPr>
        <w:t>C</w:t>
      </w:r>
      <w:r w:rsidR="00EF35A1" w:rsidRPr="00C51374">
        <w:rPr>
          <w:sz w:val="22"/>
          <w:szCs w:val="22"/>
        </w:rPr>
        <w:t>omplete a SWOT analysis</w:t>
      </w:r>
    </w:p>
    <w:p w:rsidR="00EF35A1" w:rsidRPr="00C51374" w:rsidRDefault="00EF35A1" w:rsidP="00EF35A1">
      <w:pPr>
        <w:pStyle w:val="ListParagraph"/>
        <w:numPr>
          <w:ilvl w:val="0"/>
          <w:numId w:val="22"/>
        </w:numPr>
        <w:spacing w:before="0"/>
        <w:rPr>
          <w:sz w:val="22"/>
          <w:szCs w:val="22"/>
        </w:rPr>
      </w:pPr>
      <w:r w:rsidRPr="00C51374">
        <w:rPr>
          <w:sz w:val="22"/>
          <w:szCs w:val="22"/>
        </w:rPr>
        <w:t>Identify stakeholders for a special event and identify the potential needs of the various stakeholders</w:t>
      </w:r>
    </w:p>
    <w:p w:rsidR="00EF35A1" w:rsidRPr="00C51374" w:rsidRDefault="00EF35A1" w:rsidP="00EF35A1">
      <w:pPr>
        <w:pStyle w:val="ListParagraph"/>
        <w:numPr>
          <w:ilvl w:val="0"/>
          <w:numId w:val="22"/>
        </w:numPr>
        <w:spacing w:before="0"/>
        <w:rPr>
          <w:sz w:val="22"/>
          <w:szCs w:val="22"/>
        </w:rPr>
      </w:pPr>
      <w:r w:rsidRPr="00C51374">
        <w:rPr>
          <w:sz w:val="22"/>
          <w:szCs w:val="22"/>
        </w:rPr>
        <w:t>Apply the process of developing an event concept</w:t>
      </w:r>
    </w:p>
    <w:p w:rsidR="00B64E9D" w:rsidRPr="00A81528" w:rsidRDefault="00B64E9D">
      <w:pPr>
        <w:spacing w:before="0"/>
        <w:rPr>
          <w:rFonts w:eastAsiaTheme="majorEastAsia" w:cstheme="minorHAnsi"/>
          <w:spacing w:val="20"/>
          <w:sz w:val="22"/>
          <w:szCs w:val="22"/>
        </w:rPr>
      </w:pPr>
    </w:p>
    <w:p w:rsidR="00B64E9D" w:rsidRPr="007A53D6" w:rsidRDefault="00E6350C" w:rsidP="007A53D6">
      <w:pPr>
        <w:pStyle w:val="Subtitle"/>
        <w:rPr>
          <w:color w:val="auto"/>
        </w:rPr>
      </w:pPr>
      <w:r>
        <w:rPr>
          <w:color w:val="auto"/>
        </w:rPr>
        <w:t xml:space="preserve">Module 2: </w:t>
      </w:r>
      <w:r w:rsidR="00B64E9D" w:rsidRPr="007A53D6">
        <w:rPr>
          <w:color w:val="auto"/>
        </w:rPr>
        <w:t>PVBM-</w:t>
      </w:r>
      <w:r>
        <w:rPr>
          <w:color w:val="auto"/>
        </w:rPr>
        <w:t>1202</w:t>
      </w:r>
      <w:r w:rsidR="00B64E9D" w:rsidRPr="007A53D6">
        <w:rPr>
          <w:color w:val="auto"/>
        </w:rPr>
        <w:t xml:space="preserve"> Event Coordination</w:t>
      </w:r>
    </w:p>
    <w:p w:rsidR="00B64E9D" w:rsidRDefault="00B64E9D" w:rsidP="00B64E9D">
      <w:pPr>
        <w:spacing w:before="0"/>
        <w:rPr>
          <w:sz w:val="22"/>
          <w:szCs w:val="22"/>
        </w:rPr>
      </w:pPr>
    </w:p>
    <w:p w:rsidR="00B64E9D" w:rsidRDefault="00B64E9D" w:rsidP="00B64E9D">
      <w:pPr>
        <w:spacing w:before="0"/>
        <w:rPr>
          <w:sz w:val="22"/>
          <w:szCs w:val="22"/>
        </w:rPr>
      </w:pPr>
      <w:r w:rsidRPr="00B64E9D">
        <w:rPr>
          <w:sz w:val="22"/>
          <w:szCs w:val="22"/>
        </w:rPr>
        <w:t xml:space="preserve">In Module 2, </w:t>
      </w:r>
      <w:r w:rsidR="008666F9">
        <w:rPr>
          <w:sz w:val="22"/>
          <w:szCs w:val="22"/>
        </w:rPr>
        <w:t>students</w:t>
      </w:r>
      <w:r w:rsidRPr="00B64E9D">
        <w:rPr>
          <w:sz w:val="22"/>
          <w:szCs w:val="22"/>
        </w:rPr>
        <w:t xml:space="preserve"> </w:t>
      </w:r>
      <w:r>
        <w:rPr>
          <w:sz w:val="22"/>
          <w:szCs w:val="22"/>
        </w:rPr>
        <w:t xml:space="preserve">will learn about human </w:t>
      </w:r>
      <w:r w:rsidRPr="00B64E9D">
        <w:rPr>
          <w:sz w:val="22"/>
          <w:szCs w:val="22"/>
        </w:rPr>
        <w:t>resources (</w:t>
      </w:r>
      <w:r w:rsidR="008666F9">
        <w:rPr>
          <w:sz w:val="22"/>
          <w:szCs w:val="22"/>
        </w:rPr>
        <w:t xml:space="preserve">staff and </w:t>
      </w:r>
      <w:r w:rsidRPr="00B64E9D">
        <w:rPr>
          <w:sz w:val="22"/>
          <w:szCs w:val="22"/>
        </w:rPr>
        <w:t xml:space="preserve">volunteers) </w:t>
      </w:r>
      <w:r w:rsidR="008666F9">
        <w:rPr>
          <w:sz w:val="22"/>
          <w:szCs w:val="22"/>
        </w:rPr>
        <w:t>required for</w:t>
      </w:r>
      <w:r w:rsidRPr="00B64E9D">
        <w:rPr>
          <w:sz w:val="22"/>
          <w:szCs w:val="22"/>
        </w:rPr>
        <w:t xml:space="preserve"> special event</w:t>
      </w:r>
      <w:r>
        <w:rPr>
          <w:sz w:val="22"/>
          <w:szCs w:val="22"/>
        </w:rPr>
        <w:t xml:space="preserve"> management, operational </w:t>
      </w:r>
      <w:r w:rsidRPr="00B64E9D">
        <w:rPr>
          <w:sz w:val="22"/>
          <w:szCs w:val="22"/>
        </w:rPr>
        <w:t>planning (logistics), and</w:t>
      </w:r>
      <w:r>
        <w:rPr>
          <w:sz w:val="22"/>
          <w:szCs w:val="22"/>
        </w:rPr>
        <w:t xml:space="preserve"> </w:t>
      </w:r>
      <w:r w:rsidRPr="00B64E9D">
        <w:rPr>
          <w:sz w:val="22"/>
          <w:szCs w:val="22"/>
        </w:rPr>
        <w:t>staging requirements of a special event.</w:t>
      </w:r>
      <w:r>
        <w:rPr>
          <w:sz w:val="22"/>
          <w:szCs w:val="22"/>
        </w:rPr>
        <w:t xml:space="preserve">  </w:t>
      </w:r>
      <w:r w:rsidRPr="00B64E9D">
        <w:rPr>
          <w:sz w:val="22"/>
          <w:szCs w:val="22"/>
        </w:rPr>
        <w:t>A key aspect of e</w:t>
      </w:r>
      <w:r>
        <w:rPr>
          <w:sz w:val="22"/>
          <w:szCs w:val="22"/>
        </w:rPr>
        <w:t xml:space="preserve">vent planning and management is </w:t>
      </w:r>
      <w:r w:rsidRPr="00B64E9D">
        <w:rPr>
          <w:sz w:val="22"/>
          <w:szCs w:val="22"/>
        </w:rPr>
        <w:t>the ability to pay attention to a myriad of</w:t>
      </w:r>
      <w:r>
        <w:rPr>
          <w:sz w:val="22"/>
          <w:szCs w:val="22"/>
        </w:rPr>
        <w:t xml:space="preserve"> details, some major and </w:t>
      </w:r>
      <w:r w:rsidRPr="00B64E9D">
        <w:rPr>
          <w:sz w:val="22"/>
          <w:szCs w:val="22"/>
        </w:rPr>
        <w:t xml:space="preserve">some minor. How do </w:t>
      </w:r>
      <w:r w:rsidR="008666F9">
        <w:rPr>
          <w:sz w:val="22"/>
          <w:szCs w:val="22"/>
        </w:rPr>
        <w:t>events</w:t>
      </w:r>
      <w:r>
        <w:rPr>
          <w:sz w:val="22"/>
          <w:szCs w:val="22"/>
        </w:rPr>
        <w:t xml:space="preserve"> </w:t>
      </w:r>
      <w:r w:rsidRPr="00B64E9D">
        <w:rPr>
          <w:sz w:val="22"/>
          <w:szCs w:val="22"/>
        </w:rPr>
        <w:t>come together to create a meaningful, magical, and</w:t>
      </w:r>
      <w:r>
        <w:rPr>
          <w:sz w:val="22"/>
          <w:szCs w:val="22"/>
        </w:rPr>
        <w:t xml:space="preserve"> </w:t>
      </w:r>
      <w:r w:rsidRPr="00B64E9D">
        <w:rPr>
          <w:sz w:val="22"/>
          <w:szCs w:val="22"/>
        </w:rPr>
        <w:t>memor</w:t>
      </w:r>
      <w:r>
        <w:rPr>
          <w:sz w:val="22"/>
          <w:szCs w:val="22"/>
        </w:rPr>
        <w:t xml:space="preserve">able </w:t>
      </w:r>
      <w:r w:rsidR="008666F9">
        <w:rPr>
          <w:sz w:val="22"/>
          <w:szCs w:val="22"/>
        </w:rPr>
        <w:t>experience</w:t>
      </w:r>
      <w:r>
        <w:rPr>
          <w:sz w:val="22"/>
          <w:szCs w:val="22"/>
        </w:rPr>
        <w:t xml:space="preserve">?  How </w:t>
      </w:r>
      <w:r w:rsidR="008666F9">
        <w:rPr>
          <w:sz w:val="22"/>
          <w:szCs w:val="22"/>
        </w:rPr>
        <w:t>does one</w:t>
      </w:r>
      <w:r>
        <w:rPr>
          <w:sz w:val="22"/>
          <w:szCs w:val="22"/>
        </w:rPr>
        <w:t xml:space="preserve"> </w:t>
      </w:r>
      <w:r w:rsidRPr="00B64E9D">
        <w:rPr>
          <w:sz w:val="22"/>
          <w:szCs w:val="22"/>
        </w:rPr>
        <w:t>coordinate</w:t>
      </w:r>
      <w:r>
        <w:rPr>
          <w:sz w:val="22"/>
          <w:szCs w:val="22"/>
        </w:rPr>
        <w:t xml:space="preserve"> </w:t>
      </w:r>
      <w:r w:rsidR="008666F9">
        <w:rPr>
          <w:sz w:val="22"/>
          <w:szCs w:val="22"/>
        </w:rPr>
        <w:t>events</w:t>
      </w:r>
      <w:r w:rsidRPr="00B64E9D">
        <w:rPr>
          <w:sz w:val="22"/>
          <w:szCs w:val="22"/>
        </w:rPr>
        <w:t xml:space="preserve"> </w:t>
      </w:r>
      <w:r w:rsidR="008666F9">
        <w:rPr>
          <w:sz w:val="22"/>
          <w:szCs w:val="22"/>
        </w:rPr>
        <w:t>to ensure</w:t>
      </w:r>
      <w:r w:rsidRPr="00B64E9D">
        <w:rPr>
          <w:sz w:val="22"/>
          <w:szCs w:val="22"/>
        </w:rPr>
        <w:t xml:space="preserve"> that something important is not missed? </w:t>
      </w:r>
      <w:r>
        <w:rPr>
          <w:sz w:val="22"/>
          <w:szCs w:val="22"/>
        </w:rPr>
        <w:t xml:space="preserve"> </w:t>
      </w:r>
      <w:r w:rsidRPr="00B64E9D">
        <w:rPr>
          <w:sz w:val="22"/>
          <w:szCs w:val="22"/>
        </w:rPr>
        <w:t xml:space="preserve">By completing this module, </w:t>
      </w:r>
      <w:r w:rsidR="008666F9">
        <w:rPr>
          <w:sz w:val="22"/>
          <w:szCs w:val="22"/>
        </w:rPr>
        <w:t>students</w:t>
      </w:r>
      <w:r w:rsidRPr="00B64E9D">
        <w:rPr>
          <w:sz w:val="22"/>
          <w:szCs w:val="22"/>
        </w:rPr>
        <w:t xml:space="preserve"> will find </w:t>
      </w:r>
      <w:r w:rsidR="008666F9">
        <w:rPr>
          <w:sz w:val="22"/>
          <w:szCs w:val="22"/>
        </w:rPr>
        <w:t>their</w:t>
      </w:r>
      <w:r w:rsidRPr="00B64E9D">
        <w:rPr>
          <w:sz w:val="22"/>
          <w:szCs w:val="22"/>
        </w:rPr>
        <w:t xml:space="preserve"> own</w:t>
      </w:r>
      <w:r>
        <w:rPr>
          <w:sz w:val="22"/>
          <w:szCs w:val="22"/>
        </w:rPr>
        <w:t xml:space="preserve"> </w:t>
      </w:r>
      <w:r w:rsidRPr="00B64E9D">
        <w:rPr>
          <w:sz w:val="22"/>
          <w:szCs w:val="22"/>
        </w:rPr>
        <w:t>way to organize and arrange all the important</w:t>
      </w:r>
      <w:r>
        <w:rPr>
          <w:sz w:val="22"/>
          <w:szCs w:val="22"/>
        </w:rPr>
        <w:t xml:space="preserve"> </w:t>
      </w:r>
      <w:r w:rsidRPr="00B64E9D">
        <w:rPr>
          <w:sz w:val="22"/>
          <w:szCs w:val="22"/>
        </w:rPr>
        <w:t>details in order to create a quality event that</w:t>
      </w:r>
      <w:r>
        <w:rPr>
          <w:sz w:val="22"/>
          <w:szCs w:val="22"/>
        </w:rPr>
        <w:t xml:space="preserve"> </w:t>
      </w:r>
      <w:r w:rsidR="008666F9">
        <w:rPr>
          <w:sz w:val="22"/>
          <w:szCs w:val="22"/>
        </w:rPr>
        <w:t>they</w:t>
      </w:r>
      <w:r w:rsidRPr="00B64E9D">
        <w:rPr>
          <w:sz w:val="22"/>
          <w:szCs w:val="22"/>
        </w:rPr>
        <w:t xml:space="preserve"> are proud of.</w:t>
      </w:r>
    </w:p>
    <w:p w:rsidR="00B64E9D" w:rsidRDefault="00B64E9D">
      <w:pPr>
        <w:spacing w:before="0"/>
        <w:rPr>
          <w:sz w:val="22"/>
          <w:szCs w:val="22"/>
        </w:rPr>
      </w:pPr>
    </w:p>
    <w:p w:rsidR="00B64E9D" w:rsidRDefault="00B64E9D" w:rsidP="00B64E9D">
      <w:pPr>
        <w:pStyle w:val="Heading1"/>
        <w:rPr>
          <w:b w:val="0"/>
          <w:u w:val="none"/>
        </w:rPr>
      </w:pPr>
      <w:r w:rsidRPr="00EF35A1">
        <w:rPr>
          <w:u w:val="none"/>
        </w:rPr>
        <w:t xml:space="preserve">Learning Outcomes </w:t>
      </w:r>
    </w:p>
    <w:p w:rsidR="00B64E9D" w:rsidRPr="00C51374" w:rsidRDefault="00B64E9D" w:rsidP="00B64E9D">
      <w:pPr>
        <w:spacing w:before="0"/>
        <w:rPr>
          <w:sz w:val="22"/>
          <w:szCs w:val="22"/>
        </w:rPr>
      </w:pPr>
      <w:r w:rsidRPr="00C51374">
        <w:rPr>
          <w:sz w:val="22"/>
          <w:szCs w:val="22"/>
        </w:rPr>
        <w:t>At the end of Module 2, the student will be able to:</w:t>
      </w:r>
    </w:p>
    <w:p w:rsidR="00B64E9D" w:rsidRPr="00C51374" w:rsidRDefault="00B64E9D" w:rsidP="00B64E9D">
      <w:pPr>
        <w:spacing w:before="0"/>
        <w:rPr>
          <w:sz w:val="22"/>
          <w:szCs w:val="22"/>
        </w:rPr>
      </w:pPr>
    </w:p>
    <w:p w:rsidR="00B64E9D" w:rsidRPr="00C51374" w:rsidRDefault="00B64E9D" w:rsidP="00B64E9D">
      <w:pPr>
        <w:pStyle w:val="ListParagraph"/>
        <w:numPr>
          <w:ilvl w:val="0"/>
          <w:numId w:val="22"/>
        </w:numPr>
        <w:spacing w:before="0"/>
        <w:rPr>
          <w:sz w:val="22"/>
          <w:szCs w:val="22"/>
        </w:rPr>
      </w:pPr>
      <w:r w:rsidRPr="00C51374">
        <w:rPr>
          <w:sz w:val="22"/>
          <w:szCs w:val="22"/>
        </w:rPr>
        <w:t>Outline procedures for recruiting and selecting staff and volunteers for an event</w:t>
      </w:r>
    </w:p>
    <w:p w:rsidR="00B64E9D" w:rsidRPr="00C51374" w:rsidRDefault="00B64E9D" w:rsidP="00B64E9D">
      <w:pPr>
        <w:pStyle w:val="ListParagraph"/>
        <w:numPr>
          <w:ilvl w:val="0"/>
          <w:numId w:val="22"/>
        </w:numPr>
        <w:spacing w:before="0"/>
        <w:rPr>
          <w:sz w:val="22"/>
          <w:szCs w:val="22"/>
        </w:rPr>
      </w:pPr>
      <w:r w:rsidRPr="00C51374">
        <w:rPr>
          <w:sz w:val="22"/>
          <w:szCs w:val="22"/>
        </w:rPr>
        <w:t>Identify and explain what motivates people to volunteer and perform effectively and efficiently</w:t>
      </w:r>
    </w:p>
    <w:p w:rsidR="00B64E9D" w:rsidRPr="00C51374" w:rsidRDefault="00B64E9D" w:rsidP="00B64E9D">
      <w:pPr>
        <w:pStyle w:val="ListParagraph"/>
        <w:numPr>
          <w:ilvl w:val="0"/>
          <w:numId w:val="22"/>
        </w:numPr>
        <w:spacing w:before="0"/>
        <w:rPr>
          <w:sz w:val="22"/>
          <w:szCs w:val="22"/>
        </w:rPr>
      </w:pPr>
      <w:r w:rsidRPr="00C51374">
        <w:rPr>
          <w:sz w:val="22"/>
          <w:szCs w:val="22"/>
        </w:rPr>
        <w:t>Explain the concept of logistics management and its place in event management</w:t>
      </w:r>
    </w:p>
    <w:p w:rsidR="00B64E9D" w:rsidRPr="00C51374" w:rsidRDefault="00B64E9D" w:rsidP="00B64E9D">
      <w:pPr>
        <w:pStyle w:val="ListParagraph"/>
        <w:numPr>
          <w:ilvl w:val="0"/>
          <w:numId w:val="22"/>
        </w:numPr>
        <w:spacing w:before="0"/>
        <w:rPr>
          <w:sz w:val="22"/>
          <w:szCs w:val="22"/>
        </w:rPr>
      </w:pPr>
      <w:r w:rsidRPr="00C51374">
        <w:rPr>
          <w:sz w:val="22"/>
          <w:szCs w:val="22"/>
        </w:rPr>
        <w:t>Construct a logistics plan, checklist and timeline</w:t>
      </w:r>
    </w:p>
    <w:p w:rsidR="00B64E9D" w:rsidRPr="00C51374" w:rsidRDefault="00B64E9D" w:rsidP="00B64E9D">
      <w:pPr>
        <w:pStyle w:val="ListParagraph"/>
        <w:numPr>
          <w:ilvl w:val="0"/>
          <w:numId w:val="22"/>
        </w:numPr>
        <w:spacing w:before="0"/>
        <w:rPr>
          <w:sz w:val="22"/>
          <w:szCs w:val="22"/>
        </w:rPr>
      </w:pPr>
      <w:r w:rsidRPr="00C51374">
        <w:rPr>
          <w:sz w:val="22"/>
          <w:szCs w:val="22"/>
        </w:rPr>
        <w:t xml:space="preserve">Analyze and identify the staging requirements of an event </w:t>
      </w:r>
    </w:p>
    <w:p w:rsidR="00B64E9D" w:rsidRPr="00C51374" w:rsidRDefault="00B64E9D" w:rsidP="00B64E9D">
      <w:pPr>
        <w:pStyle w:val="ListParagraph"/>
        <w:numPr>
          <w:ilvl w:val="0"/>
          <w:numId w:val="22"/>
        </w:numPr>
        <w:spacing w:before="0"/>
        <w:rPr>
          <w:sz w:val="22"/>
          <w:szCs w:val="22"/>
        </w:rPr>
      </w:pPr>
      <w:r w:rsidRPr="00C51374">
        <w:rPr>
          <w:sz w:val="22"/>
          <w:szCs w:val="22"/>
        </w:rPr>
        <w:t>Create a production schedule for a special event</w:t>
      </w:r>
    </w:p>
    <w:p w:rsidR="00B64E9D" w:rsidRDefault="00B64E9D" w:rsidP="00B64E9D">
      <w:pPr>
        <w:spacing w:before="0"/>
      </w:pPr>
    </w:p>
    <w:p w:rsidR="00B64E9D" w:rsidRDefault="00B64E9D" w:rsidP="00B64E9D">
      <w:pPr>
        <w:spacing w:before="0"/>
      </w:pPr>
    </w:p>
    <w:p w:rsidR="00E6350C" w:rsidRDefault="00E6350C">
      <w:pPr>
        <w:spacing w:before="0"/>
        <w:rPr>
          <w:rFonts w:eastAsiaTheme="minorEastAsia" w:cstheme="minorBidi"/>
          <w:b/>
          <w:spacing w:val="15"/>
          <w:sz w:val="32"/>
          <w:szCs w:val="22"/>
          <w:u w:val="single"/>
        </w:rPr>
      </w:pPr>
      <w:r>
        <w:br w:type="page"/>
      </w:r>
    </w:p>
    <w:p w:rsidR="00B64E9D" w:rsidRPr="007A53D6" w:rsidRDefault="00B64E9D" w:rsidP="007A53D6">
      <w:pPr>
        <w:pStyle w:val="Subtitle"/>
        <w:rPr>
          <w:color w:val="auto"/>
        </w:rPr>
      </w:pPr>
      <w:r w:rsidRPr="007A53D6">
        <w:rPr>
          <w:color w:val="auto"/>
        </w:rPr>
        <w:lastRenderedPageBreak/>
        <w:t>Module 3</w:t>
      </w:r>
      <w:r w:rsidR="00E6350C">
        <w:rPr>
          <w:color w:val="auto"/>
        </w:rPr>
        <w:t xml:space="preserve">: </w:t>
      </w:r>
      <w:r w:rsidRPr="007A53D6">
        <w:rPr>
          <w:color w:val="auto"/>
        </w:rPr>
        <w:t>PVBM-1203</w:t>
      </w:r>
      <w:r w:rsidR="00E6350C">
        <w:rPr>
          <w:color w:val="auto"/>
        </w:rPr>
        <w:t xml:space="preserve"> </w:t>
      </w:r>
      <w:r w:rsidRPr="007A53D6">
        <w:rPr>
          <w:color w:val="auto"/>
        </w:rPr>
        <w:t>Event Marketing</w:t>
      </w:r>
    </w:p>
    <w:p w:rsidR="00B64E9D" w:rsidRDefault="00B64E9D" w:rsidP="00B64E9D">
      <w:pPr>
        <w:spacing w:before="0"/>
        <w:rPr>
          <w:sz w:val="22"/>
          <w:szCs w:val="22"/>
        </w:rPr>
      </w:pPr>
    </w:p>
    <w:p w:rsidR="00B64E9D" w:rsidRDefault="00B64E9D" w:rsidP="00B64E9D">
      <w:pPr>
        <w:spacing w:before="0"/>
        <w:rPr>
          <w:sz w:val="22"/>
          <w:szCs w:val="22"/>
        </w:rPr>
      </w:pPr>
      <w:r w:rsidRPr="00B64E9D">
        <w:rPr>
          <w:sz w:val="22"/>
          <w:szCs w:val="22"/>
        </w:rPr>
        <w:t xml:space="preserve">In Module 3, </w:t>
      </w:r>
      <w:r w:rsidR="008666F9">
        <w:rPr>
          <w:sz w:val="22"/>
          <w:szCs w:val="22"/>
        </w:rPr>
        <w:t>students</w:t>
      </w:r>
      <w:r>
        <w:rPr>
          <w:sz w:val="22"/>
          <w:szCs w:val="22"/>
        </w:rPr>
        <w:t xml:space="preserve"> will learn how to market </w:t>
      </w:r>
      <w:r w:rsidR="008666F9">
        <w:rPr>
          <w:sz w:val="22"/>
          <w:szCs w:val="22"/>
        </w:rPr>
        <w:t>a</w:t>
      </w:r>
      <w:r>
        <w:rPr>
          <w:sz w:val="22"/>
          <w:szCs w:val="22"/>
        </w:rPr>
        <w:t xml:space="preserve"> </w:t>
      </w:r>
      <w:r w:rsidRPr="00B64E9D">
        <w:rPr>
          <w:sz w:val="22"/>
          <w:szCs w:val="22"/>
        </w:rPr>
        <w:t>special event, and how to create successful</w:t>
      </w:r>
      <w:r>
        <w:rPr>
          <w:sz w:val="22"/>
          <w:szCs w:val="22"/>
        </w:rPr>
        <w:t xml:space="preserve"> </w:t>
      </w:r>
      <w:r w:rsidRPr="00B64E9D">
        <w:rPr>
          <w:sz w:val="22"/>
          <w:szCs w:val="22"/>
        </w:rPr>
        <w:t>relationships with sponsors. Marketing is not just advertising; "marketing is</w:t>
      </w:r>
      <w:r>
        <w:rPr>
          <w:sz w:val="22"/>
          <w:szCs w:val="22"/>
        </w:rPr>
        <w:t xml:space="preserve"> </w:t>
      </w:r>
      <w:r w:rsidRPr="00B64E9D">
        <w:rPr>
          <w:sz w:val="22"/>
          <w:szCs w:val="22"/>
        </w:rPr>
        <w:t>concerned with satisfying consumer needs and wants</w:t>
      </w:r>
      <w:r>
        <w:rPr>
          <w:sz w:val="22"/>
          <w:szCs w:val="22"/>
        </w:rPr>
        <w:t xml:space="preserve"> </w:t>
      </w:r>
      <w:r w:rsidRPr="00B64E9D">
        <w:rPr>
          <w:sz w:val="22"/>
          <w:szCs w:val="22"/>
        </w:rPr>
        <w:t>by exchanging goods, services, or ideas for</w:t>
      </w:r>
      <w:r>
        <w:rPr>
          <w:sz w:val="22"/>
          <w:szCs w:val="22"/>
        </w:rPr>
        <w:t xml:space="preserve"> </w:t>
      </w:r>
      <w:r w:rsidRPr="00B64E9D">
        <w:rPr>
          <w:sz w:val="22"/>
          <w:szCs w:val="22"/>
        </w:rPr>
        <w:t>something of value" (Allen et al, 2005).  In order</w:t>
      </w:r>
      <w:r>
        <w:rPr>
          <w:sz w:val="22"/>
          <w:szCs w:val="22"/>
        </w:rPr>
        <w:t xml:space="preserve"> </w:t>
      </w:r>
      <w:r w:rsidRPr="00B64E9D">
        <w:rPr>
          <w:sz w:val="22"/>
          <w:szCs w:val="22"/>
        </w:rPr>
        <w:t>to meet the needs of our consumers, we need to</w:t>
      </w:r>
      <w:r>
        <w:rPr>
          <w:sz w:val="22"/>
          <w:szCs w:val="22"/>
        </w:rPr>
        <w:t xml:space="preserve"> </w:t>
      </w:r>
      <w:r w:rsidRPr="00B64E9D">
        <w:rPr>
          <w:sz w:val="22"/>
          <w:szCs w:val="22"/>
        </w:rPr>
        <w:t>know how they make decisions and what their needs</w:t>
      </w:r>
      <w:r>
        <w:rPr>
          <w:sz w:val="22"/>
          <w:szCs w:val="22"/>
        </w:rPr>
        <w:t xml:space="preserve"> </w:t>
      </w:r>
      <w:r w:rsidRPr="00B64E9D">
        <w:rPr>
          <w:sz w:val="22"/>
          <w:szCs w:val="22"/>
        </w:rPr>
        <w:t>are.  With this information, we can create the</w:t>
      </w:r>
      <w:r>
        <w:rPr>
          <w:sz w:val="22"/>
          <w:szCs w:val="22"/>
        </w:rPr>
        <w:t xml:space="preserve"> </w:t>
      </w:r>
      <w:r w:rsidRPr="00B64E9D">
        <w:rPr>
          <w:sz w:val="22"/>
          <w:szCs w:val="22"/>
        </w:rPr>
        <w:t>event experience they are attracted to, and that</w:t>
      </w:r>
      <w:r>
        <w:rPr>
          <w:sz w:val="22"/>
          <w:szCs w:val="22"/>
        </w:rPr>
        <w:t xml:space="preserve"> </w:t>
      </w:r>
      <w:r w:rsidRPr="00B64E9D">
        <w:rPr>
          <w:sz w:val="22"/>
          <w:szCs w:val="22"/>
        </w:rPr>
        <w:t xml:space="preserve">they desire.  </w:t>
      </w:r>
      <w:r w:rsidR="008666F9">
        <w:rPr>
          <w:sz w:val="22"/>
          <w:szCs w:val="22"/>
        </w:rPr>
        <w:t>Students</w:t>
      </w:r>
      <w:r w:rsidRPr="00B64E9D">
        <w:rPr>
          <w:sz w:val="22"/>
          <w:szCs w:val="22"/>
        </w:rPr>
        <w:t xml:space="preserve"> will learn about the concept of</w:t>
      </w:r>
      <w:r>
        <w:rPr>
          <w:sz w:val="22"/>
          <w:szCs w:val="22"/>
        </w:rPr>
        <w:t xml:space="preserve"> </w:t>
      </w:r>
      <w:r w:rsidRPr="00B64E9D">
        <w:rPr>
          <w:sz w:val="22"/>
          <w:szCs w:val="22"/>
        </w:rPr>
        <w:t>marketing, the steps in a strategic marketing</w:t>
      </w:r>
      <w:r>
        <w:rPr>
          <w:sz w:val="22"/>
          <w:szCs w:val="22"/>
        </w:rPr>
        <w:t xml:space="preserve"> </w:t>
      </w:r>
      <w:r w:rsidRPr="00B64E9D">
        <w:rPr>
          <w:sz w:val="22"/>
          <w:szCs w:val="22"/>
        </w:rPr>
        <w:t>process including how to conduct event marketing</w:t>
      </w:r>
      <w:r>
        <w:rPr>
          <w:sz w:val="22"/>
          <w:szCs w:val="22"/>
        </w:rPr>
        <w:t xml:space="preserve"> </w:t>
      </w:r>
      <w:proofErr w:type="gramStart"/>
      <w:r w:rsidRPr="00B64E9D">
        <w:rPr>
          <w:sz w:val="22"/>
          <w:szCs w:val="22"/>
        </w:rPr>
        <w:t xml:space="preserve">research, </w:t>
      </w:r>
      <w:r w:rsidR="00756E38">
        <w:rPr>
          <w:sz w:val="22"/>
          <w:szCs w:val="22"/>
        </w:rPr>
        <w:t>and</w:t>
      </w:r>
      <w:proofErr w:type="gramEnd"/>
      <w:r w:rsidR="00756E38">
        <w:rPr>
          <w:sz w:val="22"/>
          <w:szCs w:val="22"/>
        </w:rPr>
        <w:t xml:space="preserve"> create an event marketing </w:t>
      </w:r>
      <w:r w:rsidRPr="00B64E9D">
        <w:rPr>
          <w:sz w:val="22"/>
          <w:szCs w:val="22"/>
        </w:rPr>
        <w:t>and sponsorship</w:t>
      </w:r>
      <w:r w:rsidR="00756E38">
        <w:rPr>
          <w:sz w:val="22"/>
          <w:szCs w:val="22"/>
        </w:rPr>
        <w:t xml:space="preserve"> plan.</w:t>
      </w:r>
    </w:p>
    <w:p w:rsidR="00B64E9D" w:rsidRDefault="00B64E9D" w:rsidP="00B64E9D">
      <w:pPr>
        <w:pStyle w:val="Heading1"/>
        <w:rPr>
          <w:b w:val="0"/>
          <w:u w:val="none"/>
        </w:rPr>
      </w:pPr>
      <w:r w:rsidRPr="00EF35A1">
        <w:rPr>
          <w:u w:val="none"/>
        </w:rPr>
        <w:t xml:space="preserve">Learning Outcomes </w:t>
      </w:r>
    </w:p>
    <w:p w:rsidR="00B64E9D" w:rsidRPr="00C51374" w:rsidRDefault="00B64E9D" w:rsidP="00B64E9D">
      <w:pPr>
        <w:spacing w:before="0"/>
        <w:rPr>
          <w:sz w:val="22"/>
          <w:szCs w:val="22"/>
        </w:rPr>
      </w:pPr>
      <w:r w:rsidRPr="00C51374">
        <w:rPr>
          <w:sz w:val="22"/>
          <w:szCs w:val="22"/>
        </w:rPr>
        <w:t>At the end of Module 3, the student will be able to:</w:t>
      </w:r>
    </w:p>
    <w:p w:rsidR="00B64E9D" w:rsidRDefault="00B64E9D" w:rsidP="00B64E9D">
      <w:pPr>
        <w:spacing w:before="0"/>
      </w:pPr>
    </w:p>
    <w:p w:rsidR="00A81528" w:rsidRDefault="00A81528" w:rsidP="00A81528">
      <w:pPr>
        <w:pStyle w:val="ListParagraph"/>
        <w:numPr>
          <w:ilvl w:val="0"/>
          <w:numId w:val="22"/>
        </w:numPr>
        <w:spacing w:before="0"/>
      </w:pPr>
      <w:r>
        <w:t xml:space="preserve">Explain the terms "marketing" and "quality" </w:t>
      </w:r>
    </w:p>
    <w:p w:rsidR="00A81528" w:rsidRDefault="00A81528" w:rsidP="00A81528">
      <w:pPr>
        <w:pStyle w:val="ListParagraph"/>
        <w:numPr>
          <w:ilvl w:val="0"/>
          <w:numId w:val="22"/>
        </w:numPr>
        <w:spacing w:before="0"/>
      </w:pPr>
      <w:r>
        <w:t xml:space="preserve">Conduct basic event marketing research </w:t>
      </w:r>
    </w:p>
    <w:p w:rsidR="00A81528" w:rsidRDefault="00A81528" w:rsidP="00A81528">
      <w:pPr>
        <w:pStyle w:val="ListParagraph"/>
        <w:numPr>
          <w:ilvl w:val="0"/>
          <w:numId w:val="22"/>
        </w:numPr>
        <w:spacing w:before="0"/>
      </w:pPr>
      <w:r>
        <w:t xml:space="preserve">Identify and describe the event customer's decision-making process, using the PIECE acronym </w:t>
      </w:r>
    </w:p>
    <w:p w:rsidR="00A81528" w:rsidRDefault="00A81528" w:rsidP="00A81528">
      <w:pPr>
        <w:pStyle w:val="ListParagraph"/>
        <w:numPr>
          <w:ilvl w:val="0"/>
          <w:numId w:val="22"/>
        </w:numPr>
        <w:spacing w:before="0"/>
      </w:pPr>
      <w:r>
        <w:t>Identify target markets and develop marketing objectives for a special event</w:t>
      </w:r>
    </w:p>
    <w:p w:rsidR="00A81528" w:rsidRDefault="00A81528" w:rsidP="00A81528">
      <w:pPr>
        <w:pStyle w:val="ListParagraph"/>
        <w:numPr>
          <w:ilvl w:val="0"/>
          <w:numId w:val="22"/>
        </w:numPr>
        <w:spacing w:before="0"/>
      </w:pPr>
      <w:r>
        <w:t xml:space="preserve">Plan the event "service-product" experience to meet the needs of the consumers </w:t>
      </w:r>
    </w:p>
    <w:p w:rsidR="00A81528" w:rsidRDefault="00A81528" w:rsidP="00A81528">
      <w:pPr>
        <w:pStyle w:val="ListParagraph"/>
        <w:numPr>
          <w:ilvl w:val="0"/>
          <w:numId w:val="22"/>
        </w:numPr>
        <w:spacing w:before="0"/>
      </w:pPr>
      <w:r>
        <w:t xml:space="preserve">Program and package the special event </w:t>
      </w:r>
    </w:p>
    <w:p w:rsidR="00A81528" w:rsidRDefault="00A81528" w:rsidP="00A81528">
      <w:pPr>
        <w:pStyle w:val="ListParagraph"/>
        <w:numPr>
          <w:ilvl w:val="0"/>
          <w:numId w:val="22"/>
        </w:numPr>
        <w:spacing w:before="0"/>
      </w:pPr>
      <w:r>
        <w:t>List and select the appropriate “marketing mix” for a special event</w:t>
      </w:r>
    </w:p>
    <w:p w:rsidR="00A81528" w:rsidRDefault="00A81528" w:rsidP="00A81528">
      <w:pPr>
        <w:pStyle w:val="ListParagraph"/>
        <w:numPr>
          <w:ilvl w:val="0"/>
          <w:numId w:val="22"/>
        </w:numPr>
        <w:spacing w:before="0"/>
      </w:pPr>
      <w:r>
        <w:t xml:space="preserve">Explain how sponsorship is used in the context of special events and festivals </w:t>
      </w:r>
    </w:p>
    <w:p w:rsidR="00A81528" w:rsidRDefault="00A81528" w:rsidP="00A81528">
      <w:pPr>
        <w:pStyle w:val="ListParagraph"/>
        <w:numPr>
          <w:ilvl w:val="0"/>
          <w:numId w:val="22"/>
        </w:numPr>
        <w:spacing w:before="0"/>
      </w:pPr>
      <w:r>
        <w:t xml:space="preserve">Identify the key sponsorship benefits sought by event organizers as well as potential sponsors </w:t>
      </w:r>
    </w:p>
    <w:p w:rsidR="00B64E9D" w:rsidRDefault="00A81528" w:rsidP="00A81528">
      <w:pPr>
        <w:pStyle w:val="ListParagraph"/>
        <w:numPr>
          <w:ilvl w:val="0"/>
          <w:numId w:val="22"/>
        </w:numPr>
        <w:spacing w:before="0"/>
      </w:pPr>
      <w:r>
        <w:t>Develop strategies to manage event-sponsorship relationships to develop positive and enduring relationships with sponsors</w:t>
      </w:r>
    </w:p>
    <w:p w:rsidR="00B64E9D" w:rsidRDefault="00B64E9D" w:rsidP="00B64E9D">
      <w:pPr>
        <w:spacing w:before="0"/>
      </w:pPr>
    </w:p>
    <w:p w:rsidR="00B64E9D" w:rsidRPr="007A53D6" w:rsidRDefault="00B64E9D" w:rsidP="007A53D6">
      <w:pPr>
        <w:pStyle w:val="Subtitle"/>
        <w:rPr>
          <w:color w:val="auto"/>
        </w:rPr>
      </w:pPr>
      <w:r w:rsidRPr="007A53D6">
        <w:rPr>
          <w:color w:val="auto"/>
        </w:rPr>
        <w:t>Module 4</w:t>
      </w:r>
      <w:r w:rsidR="00E6350C">
        <w:rPr>
          <w:color w:val="auto"/>
        </w:rPr>
        <w:t xml:space="preserve">: </w:t>
      </w:r>
      <w:r w:rsidRPr="007A53D6">
        <w:rPr>
          <w:color w:val="auto"/>
        </w:rPr>
        <w:t>PVBM-1204</w:t>
      </w:r>
      <w:r w:rsidR="00E6350C">
        <w:rPr>
          <w:color w:val="auto"/>
        </w:rPr>
        <w:t xml:space="preserve"> </w:t>
      </w:r>
      <w:r w:rsidRPr="007A53D6">
        <w:rPr>
          <w:color w:val="auto"/>
        </w:rPr>
        <w:t>Risk Management and Evaluation</w:t>
      </w:r>
    </w:p>
    <w:p w:rsidR="00B64E9D" w:rsidRDefault="00B64E9D" w:rsidP="00B64E9D">
      <w:pPr>
        <w:spacing w:before="0"/>
        <w:rPr>
          <w:sz w:val="22"/>
          <w:szCs w:val="22"/>
        </w:rPr>
      </w:pPr>
    </w:p>
    <w:p w:rsidR="00756E38" w:rsidRDefault="00756E38" w:rsidP="00B64E9D">
      <w:pPr>
        <w:spacing w:before="0"/>
        <w:rPr>
          <w:sz w:val="22"/>
          <w:szCs w:val="22"/>
        </w:rPr>
      </w:pPr>
    </w:p>
    <w:p w:rsidR="00B64E9D" w:rsidRDefault="00B64E9D" w:rsidP="00B64E9D">
      <w:pPr>
        <w:spacing w:before="0"/>
        <w:rPr>
          <w:sz w:val="22"/>
          <w:szCs w:val="22"/>
        </w:rPr>
      </w:pPr>
      <w:r>
        <w:rPr>
          <w:sz w:val="22"/>
          <w:szCs w:val="22"/>
        </w:rPr>
        <w:t>In Module 4</w:t>
      </w:r>
      <w:r w:rsidRPr="00B64E9D">
        <w:rPr>
          <w:sz w:val="22"/>
          <w:szCs w:val="22"/>
        </w:rPr>
        <w:t xml:space="preserve">, </w:t>
      </w:r>
      <w:r w:rsidR="00756E38">
        <w:rPr>
          <w:sz w:val="22"/>
          <w:szCs w:val="22"/>
        </w:rPr>
        <w:t>students</w:t>
      </w:r>
      <w:r w:rsidRPr="00B64E9D">
        <w:rPr>
          <w:sz w:val="22"/>
          <w:szCs w:val="22"/>
        </w:rPr>
        <w:t xml:space="preserve"> </w:t>
      </w:r>
      <w:r>
        <w:rPr>
          <w:sz w:val="22"/>
          <w:szCs w:val="22"/>
        </w:rPr>
        <w:t xml:space="preserve">will learn about </w:t>
      </w:r>
      <w:r w:rsidR="00756E38">
        <w:rPr>
          <w:sz w:val="22"/>
          <w:szCs w:val="22"/>
        </w:rPr>
        <w:t xml:space="preserve">financial management, risk management and evaluation of special events. Students will learn how to create a basic budget and keep their event on track financially. Students will learn how to conduct a risk assessment and how to create plans to mitigate risk.  Students will also explore licenses, permits </w:t>
      </w:r>
      <w:proofErr w:type="gramStart"/>
      <w:r w:rsidR="00756E38">
        <w:rPr>
          <w:sz w:val="22"/>
          <w:szCs w:val="22"/>
        </w:rPr>
        <w:t>and  legal</w:t>
      </w:r>
      <w:proofErr w:type="gramEnd"/>
      <w:r w:rsidR="00756E38">
        <w:rPr>
          <w:sz w:val="22"/>
          <w:szCs w:val="22"/>
        </w:rPr>
        <w:t xml:space="preserve"> issues related to event management, and explore evaluation tools and techniques for ongoing feedback and post event evaluation.</w:t>
      </w:r>
    </w:p>
    <w:p w:rsidR="00B64E9D" w:rsidRDefault="00B64E9D" w:rsidP="00B64E9D">
      <w:pPr>
        <w:pStyle w:val="Heading1"/>
        <w:rPr>
          <w:b w:val="0"/>
          <w:u w:val="none"/>
        </w:rPr>
      </w:pPr>
      <w:r w:rsidRPr="00EF35A1">
        <w:rPr>
          <w:u w:val="none"/>
        </w:rPr>
        <w:t xml:space="preserve">Learning Outcomes </w:t>
      </w:r>
    </w:p>
    <w:p w:rsidR="00B64E9D" w:rsidRPr="00C51374" w:rsidRDefault="00B64E9D" w:rsidP="00B64E9D">
      <w:pPr>
        <w:spacing w:before="0"/>
        <w:rPr>
          <w:sz w:val="22"/>
          <w:szCs w:val="22"/>
        </w:rPr>
      </w:pPr>
      <w:r w:rsidRPr="00C51374">
        <w:rPr>
          <w:sz w:val="22"/>
          <w:szCs w:val="22"/>
        </w:rPr>
        <w:t>At the end of Module 4, the student will be able to:</w:t>
      </w:r>
    </w:p>
    <w:p w:rsidR="00756E38" w:rsidRPr="00DA637E" w:rsidRDefault="00756E38" w:rsidP="00756E38">
      <w:pPr>
        <w:numPr>
          <w:ilvl w:val="0"/>
          <w:numId w:val="25"/>
        </w:numPr>
        <w:tabs>
          <w:tab w:val="clear" w:pos="644"/>
          <w:tab w:val="num" w:pos="243"/>
        </w:tabs>
        <w:spacing w:before="100" w:beforeAutospacing="1" w:after="100" w:afterAutospacing="1"/>
        <w:ind w:left="243" w:hanging="270"/>
        <w:rPr>
          <w:rFonts w:ascii="Trebuchet MS" w:hAnsi="Trebuchet MS" w:cs="Trebuchet MS"/>
          <w:color w:val="000000"/>
          <w:sz w:val="22"/>
          <w:szCs w:val="22"/>
        </w:rPr>
      </w:pPr>
      <w:r>
        <w:rPr>
          <w:rFonts w:ascii="Trebuchet MS" w:hAnsi="Trebuchet MS" w:cs="Trebuchet MS"/>
          <w:color w:val="000000"/>
          <w:sz w:val="22"/>
          <w:szCs w:val="22"/>
        </w:rPr>
        <w:t xml:space="preserve">Define the term "control" </w:t>
      </w:r>
      <w:r w:rsidRPr="00DA637E">
        <w:rPr>
          <w:rFonts w:ascii="Trebuchet MS" w:hAnsi="Trebuchet MS" w:cs="Trebuchet MS"/>
          <w:color w:val="000000"/>
          <w:sz w:val="22"/>
          <w:szCs w:val="22"/>
        </w:rPr>
        <w:t xml:space="preserve">and articulate the purpose of having control systems in place for special events </w:t>
      </w:r>
    </w:p>
    <w:p w:rsidR="00756E38" w:rsidRDefault="00756E38" w:rsidP="00756E38">
      <w:pPr>
        <w:numPr>
          <w:ilvl w:val="0"/>
          <w:numId w:val="25"/>
        </w:numPr>
        <w:tabs>
          <w:tab w:val="clear" w:pos="644"/>
          <w:tab w:val="num" w:pos="243"/>
        </w:tabs>
        <w:spacing w:before="100" w:beforeAutospacing="1" w:after="100" w:afterAutospacing="1"/>
        <w:ind w:left="243" w:hanging="270"/>
        <w:rPr>
          <w:rFonts w:ascii="Trebuchet MS" w:hAnsi="Trebuchet MS" w:cs="Trebuchet MS"/>
          <w:color w:val="000000"/>
          <w:sz w:val="22"/>
          <w:szCs w:val="22"/>
        </w:rPr>
      </w:pPr>
      <w:r>
        <w:rPr>
          <w:rFonts w:ascii="Trebuchet MS" w:hAnsi="Trebuchet MS" w:cs="Trebuchet MS"/>
          <w:color w:val="000000"/>
          <w:sz w:val="22"/>
          <w:szCs w:val="22"/>
        </w:rPr>
        <w:t>Define terms such as cash flow, costing, income, expenditures, and revenue</w:t>
      </w:r>
    </w:p>
    <w:p w:rsidR="00756E38" w:rsidRDefault="00756E38" w:rsidP="00756E38">
      <w:pPr>
        <w:numPr>
          <w:ilvl w:val="0"/>
          <w:numId w:val="25"/>
        </w:numPr>
        <w:tabs>
          <w:tab w:val="clear" w:pos="644"/>
          <w:tab w:val="num" w:pos="270"/>
          <w:tab w:val="num" w:pos="1080"/>
        </w:tabs>
        <w:spacing w:before="0"/>
        <w:ind w:left="245" w:hanging="274"/>
        <w:rPr>
          <w:rFonts w:ascii="Trebuchet MS" w:hAnsi="Trebuchet MS" w:cs="Trebuchet MS"/>
          <w:color w:val="000000"/>
          <w:sz w:val="22"/>
          <w:szCs w:val="22"/>
        </w:rPr>
      </w:pPr>
      <w:r>
        <w:rPr>
          <w:rFonts w:ascii="Trebuchet MS" w:hAnsi="Trebuchet MS" w:cs="Trebuchet MS"/>
          <w:color w:val="000000"/>
          <w:sz w:val="22"/>
          <w:szCs w:val="22"/>
        </w:rPr>
        <w:t xml:space="preserve">Construct a basic budget for a special event </w:t>
      </w:r>
    </w:p>
    <w:p w:rsidR="00756E38" w:rsidRPr="00DA637E" w:rsidRDefault="00756E38" w:rsidP="00756E38">
      <w:pPr>
        <w:numPr>
          <w:ilvl w:val="0"/>
          <w:numId w:val="25"/>
        </w:numPr>
        <w:tabs>
          <w:tab w:val="clear" w:pos="644"/>
          <w:tab w:val="num" w:pos="243"/>
        </w:tabs>
        <w:spacing w:before="0"/>
        <w:ind w:left="245" w:hanging="274"/>
        <w:rPr>
          <w:rFonts w:ascii="Trebuchet MS" w:hAnsi="Trebuchet MS" w:cs="Trebuchet MS"/>
          <w:color w:val="000000"/>
          <w:sz w:val="22"/>
          <w:szCs w:val="22"/>
        </w:rPr>
      </w:pPr>
      <w:r>
        <w:rPr>
          <w:rFonts w:ascii="Trebuchet MS" w:hAnsi="Trebuchet MS" w:cs="Trebuchet MS"/>
          <w:color w:val="000000"/>
          <w:sz w:val="22"/>
          <w:szCs w:val="22"/>
        </w:rPr>
        <w:t xml:space="preserve">Define the term "risk management" </w:t>
      </w:r>
      <w:r w:rsidRPr="00DA637E">
        <w:rPr>
          <w:rFonts w:ascii="Trebuchet MS" w:hAnsi="Trebuchet MS" w:cs="Trebuchet MS"/>
          <w:color w:val="000000"/>
          <w:sz w:val="22"/>
          <w:szCs w:val="22"/>
        </w:rPr>
        <w:t xml:space="preserve">and articulate the role of risk management in the overall event management process </w:t>
      </w:r>
    </w:p>
    <w:p w:rsidR="00756E38" w:rsidRDefault="00756E38" w:rsidP="00756E38">
      <w:pPr>
        <w:numPr>
          <w:ilvl w:val="0"/>
          <w:numId w:val="25"/>
        </w:numPr>
        <w:tabs>
          <w:tab w:val="clear" w:pos="644"/>
          <w:tab w:val="num" w:pos="243"/>
        </w:tabs>
        <w:spacing w:before="100" w:beforeAutospacing="1" w:after="100" w:afterAutospacing="1"/>
        <w:ind w:left="243" w:hanging="270"/>
        <w:rPr>
          <w:rFonts w:ascii="Trebuchet MS" w:hAnsi="Trebuchet MS" w:cs="Trebuchet MS"/>
          <w:color w:val="000000"/>
          <w:sz w:val="22"/>
          <w:szCs w:val="22"/>
        </w:rPr>
      </w:pPr>
      <w:r>
        <w:rPr>
          <w:rFonts w:ascii="Trebuchet MS" w:hAnsi="Trebuchet MS" w:cs="Trebuchet MS"/>
          <w:color w:val="000000"/>
          <w:sz w:val="22"/>
          <w:szCs w:val="22"/>
        </w:rPr>
        <w:t>Explore regulations, permits, laws, etc. that govern special event planning in a community</w:t>
      </w:r>
    </w:p>
    <w:p w:rsidR="00756E38" w:rsidRPr="00BF69C1" w:rsidRDefault="00756E38" w:rsidP="00756E38">
      <w:pPr>
        <w:numPr>
          <w:ilvl w:val="0"/>
          <w:numId w:val="25"/>
        </w:numPr>
        <w:tabs>
          <w:tab w:val="clear" w:pos="644"/>
          <w:tab w:val="num" w:pos="243"/>
        </w:tabs>
        <w:spacing w:before="0"/>
        <w:ind w:left="243" w:hanging="270"/>
        <w:rPr>
          <w:rFonts w:ascii="Trebuchet MS" w:hAnsi="Trebuchet MS" w:cs="Trebuchet MS"/>
          <w:color w:val="000000"/>
          <w:sz w:val="22"/>
          <w:szCs w:val="22"/>
        </w:rPr>
      </w:pPr>
      <w:r>
        <w:rPr>
          <w:rFonts w:ascii="Trebuchet MS" w:hAnsi="Trebuchet MS" w:cs="Trebuchet MS"/>
          <w:color w:val="000000"/>
          <w:sz w:val="22"/>
          <w:szCs w:val="22"/>
        </w:rPr>
        <w:t xml:space="preserve">Construct a basic risk management plan for a special event </w:t>
      </w:r>
    </w:p>
    <w:p w:rsidR="00756E38" w:rsidRDefault="00756E38" w:rsidP="00756E38">
      <w:pPr>
        <w:numPr>
          <w:ilvl w:val="0"/>
          <w:numId w:val="25"/>
        </w:numPr>
        <w:tabs>
          <w:tab w:val="clear" w:pos="644"/>
          <w:tab w:val="num" w:pos="243"/>
        </w:tabs>
        <w:spacing w:before="0"/>
        <w:ind w:left="243" w:hanging="270"/>
        <w:rPr>
          <w:rFonts w:ascii="Trebuchet MS" w:hAnsi="Trebuchet MS" w:cs="Trebuchet MS"/>
          <w:color w:val="000000"/>
          <w:sz w:val="22"/>
          <w:szCs w:val="22"/>
        </w:rPr>
      </w:pPr>
      <w:r>
        <w:rPr>
          <w:rFonts w:ascii="Trebuchet MS" w:hAnsi="Trebuchet MS" w:cs="Trebuchet MS"/>
          <w:color w:val="000000"/>
          <w:sz w:val="22"/>
          <w:szCs w:val="22"/>
        </w:rPr>
        <w:lastRenderedPageBreak/>
        <w:t xml:space="preserve">Describe the role of evaluation in the event management process </w:t>
      </w:r>
    </w:p>
    <w:p w:rsidR="00756E38" w:rsidRDefault="00756E38" w:rsidP="00756E38">
      <w:pPr>
        <w:numPr>
          <w:ilvl w:val="0"/>
          <w:numId w:val="25"/>
        </w:numPr>
        <w:tabs>
          <w:tab w:val="clear" w:pos="644"/>
          <w:tab w:val="num" w:pos="243"/>
        </w:tabs>
        <w:spacing w:before="100" w:beforeAutospacing="1" w:after="100" w:afterAutospacing="1"/>
        <w:ind w:left="243" w:hanging="270"/>
        <w:rPr>
          <w:rFonts w:ascii="Trebuchet MS" w:hAnsi="Trebuchet MS" w:cs="Trebuchet MS"/>
          <w:color w:val="000000"/>
          <w:sz w:val="22"/>
          <w:szCs w:val="22"/>
        </w:rPr>
      </w:pPr>
      <w:r>
        <w:rPr>
          <w:rFonts w:ascii="Trebuchet MS" w:hAnsi="Trebuchet MS" w:cs="Trebuchet MS"/>
          <w:color w:val="000000"/>
          <w:sz w:val="22"/>
          <w:szCs w:val="22"/>
        </w:rPr>
        <w:t>Discuss the evaluation needs of event stakeholders and create an event evaluation tool</w:t>
      </w:r>
    </w:p>
    <w:p w:rsidR="00756E38" w:rsidRDefault="00756E38" w:rsidP="00756E38">
      <w:pPr>
        <w:numPr>
          <w:ilvl w:val="0"/>
          <w:numId w:val="25"/>
        </w:numPr>
        <w:tabs>
          <w:tab w:val="clear" w:pos="644"/>
          <w:tab w:val="num" w:pos="243"/>
        </w:tabs>
        <w:spacing w:before="100" w:beforeAutospacing="1" w:after="100" w:afterAutospacing="1"/>
        <w:ind w:left="243" w:hanging="270"/>
        <w:rPr>
          <w:rFonts w:ascii="Trebuchet MS" w:hAnsi="Trebuchet MS" w:cs="Trebuchet MS"/>
          <w:color w:val="000000"/>
          <w:sz w:val="22"/>
          <w:szCs w:val="22"/>
        </w:rPr>
      </w:pPr>
      <w:r>
        <w:rPr>
          <w:rFonts w:ascii="Trebuchet MS" w:hAnsi="Trebuchet MS" w:cs="Trebuchet MS"/>
          <w:color w:val="000000"/>
          <w:sz w:val="22"/>
          <w:szCs w:val="22"/>
        </w:rPr>
        <w:t>Identify and use secondary research sources</w:t>
      </w:r>
    </w:p>
    <w:p w:rsidR="00756E38" w:rsidRDefault="00756E38" w:rsidP="00756E38">
      <w:pPr>
        <w:numPr>
          <w:ilvl w:val="0"/>
          <w:numId w:val="25"/>
        </w:numPr>
        <w:tabs>
          <w:tab w:val="clear" w:pos="644"/>
          <w:tab w:val="num" w:pos="243"/>
        </w:tabs>
        <w:adjustRightInd w:val="0"/>
        <w:spacing w:before="100" w:beforeAutospacing="1" w:after="100" w:afterAutospacing="1"/>
        <w:ind w:left="-29" w:firstLine="0"/>
        <w:rPr>
          <w:rFonts w:ascii="Trebuchet MS" w:hAnsi="Trebuchet MS" w:cs="Trebuchet MS"/>
          <w:color w:val="000000"/>
          <w:sz w:val="22"/>
          <w:szCs w:val="22"/>
        </w:rPr>
      </w:pPr>
      <w:r>
        <w:rPr>
          <w:rFonts w:ascii="Trebuchet MS" w:hAnsi="Trebuchet MS" w:cs="Trebuchet MS"/>
          <w:color w:val="000000"/>
          <w:sz w:val="22"/>
          <w:szCs w:val="22"/>
        </w:rPr>
        <w:t>Create an evaluation plan for an event</w:t>
      </w:r>
    </w:p>
    <w:p w:rsidR="0069273E" w:rsidRPr="001930F5" w:rsidRDefault="0069273E" w:rsidP="00B5419F">
      <w:pPr>
        <w:pStyle w:val="Title"/>
      </w:pPr>
      <w:r w:rsidRPr="001930F5">
        <w:t>Evaluation</w:t>
      </w:r>
    </w:p>
    <w:p w:rsidR="007A53D6" w:rsidRPr="00C51374" w:rsidRDefault="007A53D6" w:rsidP="001930F5">
      <w:pPr>
        <w:rPr>
          <w:sz w:val="22"/>
          <w:szCs w:val="22"/>
        </w:rPr>
      </w:pPr>
      <w:r w:rsidRPr="00C51374">
        <w:rPr>
          <w:sz w:val="22"/>
          <w:szCs w:val="22"/>
        </w:rPr>
        <w:t>In order to successfully complete this program, student</w:t>
      </w:r>
      <w:r w:rsidR="0069273E" w:rsidRPr="00C51374">
        <w:rPr>
          <w:sz w:val="22"/>
          <w:szCs w:val="22"/>
        </w:rPr>
        <w:t xml:space="preserve"> must </w:t>
      </w:r>
      <w:r w:rsidRPr="00C51374">
        <w:rPr>
          <w:sz w:val="22"/>
          <w:szCs w:val="22"/>
        </w:rPr>
        <w:t>participate in Weekly Discussions and Simulation Assignments to the standards that are set and assessed by the instructor as follows:</w:t>
      </w:r>
    </w:p>
    <w:p w:rsidR="0069273E" w:rsidRPr="007A53D6" w:rsidRDefault="007A53D6" w:rsidP="00E6350C">
      <w:pPr>
        <w:ind w:firstLine="360"/>
        <w:rPr>
          <w:b/>
        </w:rPr>
      </w:pPr>
      <w:r w:rsidRPr="007A53D6">
        <w:rPr>
          <w:b/>
        </w:rPr>
        <w:t>Weekly Discussions</w:t>
      </w:r>
      <w:r w:rsidR="0069273E" w:rsidRPr="007A53D6">
        <w:rPr>
          <w:b/>
        </w:rPr>
        <w:t xml:space="preserve"> </w:t>
      </w:r>
    </w:p>
    <w:p w:rsidR="007A53D6" w:rsidRPr="00C51374" w:rsidRDefault="007A53D6" w:rsidP="007A53D6">
      <w:pPr>
        <w:pStyle w:val="ListParagraph"/>
        <w:numPr>
          <w:ilvl w:val="0"/>
          <w:numId w:val="24"/>
        </w:numPr>
        <w:rPr>
          <w:sz w:val="22"/>
          <w:szCs w:val="22"/>
        </w:rPr>
      </w:pPr>
      <w:r w:rsidRPr="00C51374">
        <w:rPr>
          <w:sz w:val="22"/>
          <w:szCs w:val="22"/>
        </w:rPr>
        <w:t xml:space="preserve">Students are required to participate in weekly discussion questions posted by the instructor, and apply theory learned to different aspects of event planning. </w:t>
      </w:r>
    </w:p>
    <w:p w:rsidR="007A53D6" w:rsidRPr="00C51374" w:rsidRDefault="007A53D6" w:rsidP="007A53D6">
      <w:pPr>
        <w:pStyle w:val="ListParagraph"/>
        <w:numPr>
          <w:ilvl w:val="0"/>
          <w:numId w:val="24"/>
        </w:numPr>
        <w:rPr>
          <w:sz w:val="22"/>
          <w:szCs w:val="22"/>
        </w:rPr>
      </w:pPr>
      <w:r w:rsidRPr="00C51374">
        <w:rPr>
          <w:sz w:val="22"/>
          <w:szCs w:val="22"/>
        </w:rPr>
        <w:t>Students must post two times per discussion forum.  Students must make initial postings for each discussion question, each week, by Thursday, 11:55 pm of that week in order for their posting to be considered for credit.  In addition, each student is required to follow up to another student’s post by 11:55 am on Sunday of the same week.  The follow up must add something to the discussion to receive credit – it should highlight learning, or insight gained as a result of the initial post</w:t>
      </w:r>
      <w:r w:rsidR="00E553B5">
        <w:rPr>
          <w:sz w:val="22"/>
          <w:szCs w:val="22"/>
        </w:rPr>
        <w:t>, and use critical thinking skills and personal experience to</w:t>
      </w:r>
      <w:r w:rsidRPr="00C51374">
        <w:rPr>
          <w:sz w:val="22"/>
          <w:szCs w:val="22"/>
        </w:rPr>
        <w:t xml:space="preserve"> challenge the thinking of the individual who posted the initial post in a constructive manner.  Instructor feedback may require students to add another post or posts, or do more research, to satisfy the requirements for “good” post quality stated above.  </w:t>
      </w:r>
    </w:p>
    <w:p w:rsidR="007A53D6" w:rsidRPr="00C51374" w:rsidRDefault="007A53D6" w:rsidP="007A53D6">
      <w:pPr>
        <w:pStyle w:val="ListParagraph"/>
        <w:numPr>
          <w:ilvl w:val="0"/>
          <w:numId w:val="24"/>
        </w:numPr>
        <w:rPr>
          <w:sz w:val="22"/>
          <w:szCs w:val="22"/>
        </w:rPr>
      </w:pPr>
      <w:r w:rsidRPr="00C51374">
        <w:rPr>
          <w:sz w:val="22"/>
          <w:szCs w:val="22"/>
        </w:rPr>
        <w:t>Students may reply to as many posts as you wish, but credit for only one initial post and one follow up post is required.  Unless prior permission is requested, and given by the instructor, late posts will not be marked.</w:t>
      </w:r>
    </w:p>
    <w:p w:rsidR="007A53D6" w:rsidRPr="00C51374" w:rsidRDefault="007A53D6" w:rsidP="007A53D6">
      <w:pPr>
        <w:pStyle w:val="ListParagraph"/>
        <w:numPr>
          <w:ilvl w:val="0"/>
          <w:numId w:val="24"/>
        </w:numPr>
        <w:rPr>
          <w:sz w:val="22"/>
          <w:szCs w:val="22"/>
        </w:rPr>
      </w:pPr>
      <w:r w:rsidRPr="00C51374">
        <w:rPr>
          <w:sz w:val="22"/>
          <w:szCs w:val="22"/>
        </w:rPr>
        <w:t>For discussion question postings, the instructor will be looking for evidence of creativity (e.g. your answers are unique), critical thinking ability, good communication skills, reflection of theory learned through the readings, and ability to practically apply learning.</w:t>
      </w:r>
    </w:p>
    <w:p w:rsidR="007A53D6" w:rsidRPr="00C51374" w:rsidRDefault="007A53D6" w:rsidP="00E6350C">
      <w:pPr>
        <w:ind w:firstLine="360"/>
        <w:rPr>
          <w:sz w:val="22"/>
          <w:szCs w:val="22"/>
        </w:rPr>
      </w:pPr>
      <w:r w:rsidRPr="00C51374">
        <w:rPr>
          <w:sz w:val="22"/>
          <w:szCs w:val="22"/>
        </w:rPr>
        <w:t>The instructor will provide feedback to the students within the discussion forum based on the following rubric:</w:t>
      </w:r>
    </w:p>
    <w:p w:rsidR="00F94B93" w:rsidRDefault="00F94B93" w:rsidP="00F94B93">
      <w:pPr>
        <w:tabs>
          <w:tab w:val="left" w:pos="720"/>
          <w:tab w:val="left" w:pos="4560"/>
        </w:tabs>
        <w:spacing w:before="0"/>
        <w:rPr>
          <w:rFonts w:cstheme="minorHAnsi"/>
          <w:bCs/>
          <w:sz w:val="22"/>
          <w:szCs w:val="22"/>
        </w:rPr>
      </w:pPr>
    </w:p>
    <w:p w:rsidR="00F94B93" w:rsidRDefault="00F94B93" w:rsidP="00F94B93">
      <w:pPr>
        <w:tabs>
          <w:tab w:val="left" w:pos="720"/>
          <w:tab w:val="left" w:pos="4560"/>
        </w:tabs>
        <w:spacing w:before="0"/>
        <w:rPr>
          <w:rFonts w:cstheme="minorHAnsi"/>
          <w:bCs/>
          <w:sz w:val="22"/>
          <w:szCs w:val="22"/>
        </w:rPr>
      </w:pPr>
      <w:r>
        <w:rPr>
          <w:rFonts w:cstheme="minorHAnsi"/>
          <w:bCs/>
          <w:sz w:val="22"/>
          <w:szCs w:val="22"/>
        </w:rPr>
        <w:tab/>
      </w:r>
      <w:r w:rsidRPr="007A53D6">
        <w:rPr>
          <w:rFonts w:cstheme="minorHAnsi"/>
          <w:bCs/>
          <w:sz w:val="22"/>
          <w:szCs w:val="22"/>
        </w:rPr>
        <w:t>Discussion Questions Rubric:</w:t>
      </w:r>
    </w:p>
    <w:p w:rsidR="00F94B93" w:rsidRPr="007A53D6" w:rsidRDefault="00F94B93" w:rsidP="00F94B93">
      <w:pPr>
        <w:tabs>
          <w:tab w:val="left" w:pos="720"/>
          <w:tab w:val="left" w:pos="4560"/>
        </w:tabs>
        <w:spacing w:before="0"/>
        <w:rPr>
          <w:rFonts w:cstheme="minorHAnsi"/>
          <w:bCs/>
          <w:sz w:val="22"/>
          <w:szCs w:val="22"/>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160"/>
        <w:gridCol w:w="2340"/>
        <w:gridCol w:w="2610"/>
      </w:tblGrid>
      <w:tr w:rsidR="007A53D6" w:rsidRPr="00F94B93" w:rsidTr="00F94B93">
        <w:tc>
          <w:tcPr>
            <w:tcW w:w="2250" w:type="dxa"/>
            <w:vAlign w:val="center"/>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 xml:space="preserve">Needs improvement </w:t>
            </w:r>
          </w:p>
        </w:tc>
        <w:tc>
          <w:tcPr>
            <w:tcW w:w="2160" w:type="dxa"/>
            <w:vAlign w:val="center"/>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Getting There</w:t>
            </w:r>
          </w:p>
        </w:tc>
        <w:tc>
          <w:tcPr>
            <w:tcW w:w="2340" w:type="dxa"/>
            <w:vAlign w:val="center"/>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 xml:space="preserve">Good </w:t>
            </w:r>
          </w:p>
        </w:tc>
        <w:tc>
          <w:tcPr>
            <w:tcW w:w="2610" w:type="dxa"/>
            <w:vAlign w:val="center"/>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 xml:space="preserve">Great </w:t>
            </w:r>
          </w:p>
        </w:tc>
      </w:tr>
      <w:tr w:rsidR="007A53D6" w:rsidRPr="00F94B93" w:rsidTr="00F94B93">
        <w:tc>
          <w:tcPr>
            <w:tcW w:w="2250" w:type="dxa"/>
            <w:vAlign w:val="center"/>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Student does not respond to each discussion question; posting cannot be understood by peers or instructor; post is too similar to one written by another student who posted earlier</w:t>
            </w:r>
          </w:p>
        </w:tc>
        <w:tc>
          <w:tcPr>
            <w:tcW w:w="2160" w:type="dxa"/>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Postings short in length, lack substance or are difficult to understand; simple points, little explanation or rationale given, and little reference to theory</w:t>
            </w:r>
          </w:p>
        </w:tc>
        <w:tc>
          <w:tcPr>
            <w:tcW w:w="2340" w:type="dxa"/>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Student demonstrates a reasonable grasp of theory and is able to articulate what they have learned</w:t>
            </w:r>
          </w:p>
        </w:tc>
        <w:tc>
          <w:tcPr>
            <w:tcW w:w="2610" w:type="dxa"/>
          </w:tcPr>
          <w:p w:rsidR="007A53D6" w:rsidRPr="00F94B93" w:rsidRDefault="007A53D6"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Postings are comprehensive, using a combination of theory learned plus evidence of student’s own experience and critical thinking ability; evidence of learning and application of theory; postings easy to read and understand</w:t>
            </w:r>
          </w:p>
        </w:tc>
      </w:tr>
    </w:tbl>
    <w:p w:rsidR="00F94B93" w:rsidRDefault="00F94B93">
      <w:pPr>
        <w:spacing w:before="0"/>
        <w:rPr>
          <w:rFonts w:cstheme="minorHAnsi"/>
          <w:b/>
          <w:sz w:val="22"/>
          <w:szCs w:val="22"/>
        </w:rPr>
      </w:pPr>
    </w:p>
    <w:p w:rsidR="00F94B93" w:rsidRDefault="008E2CB9" w:rsidP="008E2CB9">
      <w:pPr>
        <w:tabs>
          <w:tab w:val="left" w:pos="720"/>
          <w:tab w:val="left" w:pos="4560"/>
        </w:tabs>
        <w:rPr>
          <w:rFonts w:cstheme="minorHAnsi"/>
          <w:sz w:val="22"/>
          <w:szCs w:val="22"/>
        </w:rPr>
      </w:pPr>
      <w:r>
        <w:rPr>
          <w:rFonts w:cstheme="minorHAnsi"/>
          <w:b/>
          <w:sz w:val="22"/>
          <w:szCs w:val="22"/>
        </w:rPr>
        <w:tab/>
      </w:r>
      <w:r w:rsidR="00F94B93" w:rsidRPr="00F94B93">
        <w:rPr>
          <w:rFonts w:cstheme="minorHAnsi"/>
          <w:b/>
          <w:sz w:val="22"/>
          <w:szCs w:val="22"/>
        </w:rPr>
        <w:t>Simulation Assignments</w:t>
      </w:r>
    </w:p>
    <w:p w:rsidR="00F94B93" w:rsidRPr="00F94B93" w:rsidRDefault="00F94B93" w:rsidP="00F94B93">
      <w:pPr>
        <w:tabs>
          <w:tab w:val="left" w:pos="4560"/>
        </w:tabs>
        <w:rPr>
          <w:rFonts w:cstheme="minorHAnsi"/>
          <w:sz w:val="22"/>
          <w:szCs w:val="22"/>
        </w:rPr>
      </w:pPr>
      <w:r w:rsidRPr="00F94B93">
        <w:rPr>
          <w:rFonts w:cstheme="minorHAnsi"/>
          <w:sz w:val="22"/>
          <w:szCs w:val="22"/>
        </w:rPr>
        <w:t>Students are required to complete weekly Simulation Assignments where they will apply their learnings to a ‘mock event’ of their choice which they wi</w:t>
      </w:r>
      <w:r>
        <w:rPr>
          <w:rFonts w:cstheme="minorHAnsi"/>
          <w:sz w:val="22"/>
          <w:szCs w:val="22"/>
        </w:rPr>
        <w:t>ll use throughout the semester.</w:t>
      </w:r>
    </w:p>
    <w:p w:rsidR="00F94B93" w:rsidRDefault="00F94B93" w:rsidP="00F94B93">
      <w:pPr>
        <w:tabs>
          <w:tab w:val="left" w:pos="4560"/>
        </w:tabs>
        <w:rPr>
          <w:rFonts w:cstheme="minorHAnsi"/>
          <w:sz w:val="22"/>
          <w:szCs w:val="22"/>
        </w:rPr>
      </w:pPr>
      <w:r w:rsidRPr="00F94B93">
        <w:rPr>
          <w:rFonts w:cstheme="minorHAnsi"/>
          <w:sz w:val="22"/>
          <w:szCs w:val="22"/>
        </w:rPr>
        <w:lastRenderedPageBreak/>
        <w:t>A student must achieve a mark of 70/100 or higher to satisfactorily complete their assignment.  If an assignment is not completed to the satisfaction of the instructor, the student will have an opportunity to correct and re-submit their assignment, provided the initial assignment was completed during the week it was due AND the corrections are posted before the Thursday noon of the following Module.</w:t>
      </w:r>
    </w:p>
    <w:p w:rsidR="00F94B93" w:rsidRDefault="00F94B93" w:rsidP="00F94B93">
      <w:pPr>
        <w:tabs>
          <w:tab w:val="left" w:pos="4560"/>
        </w:tabs>
        <w:rPr>
          <w:rFonts w:cstheme="minorHAnsi"/>
          <w:sz w:val="22"/>
          <w:szCs w:val="22"/>
        </w:rPr>
      </w:pPr>
      <w:r w:rsidRPr="00F94B93">
        <w:rPr>
          <w:rFonts w:cstheme="minorHAnsi"/>
          <w:sz w:val="22"/>
          <w:szCs w:val="22"/>
        </w:rPr>
        <w:t>A rubric outlining the criteria for successful completion of Simulation tasks is given as follows:</w:t>
      </w:r>
    </w:p>
    <w:p w:rsidR="00F94B93" w:rsidRDefault="00E6350C" w:rsidP="00F94B93">
      <w:pPr>
        <w:tabs>
          <w:tab w:val="left" w:pos="4560"/>
        </w:tabs>
        <w:rPr>
          <w:rFonts w:cstheme="minorHAnsi"/>
          <w:bCs/>
          <w:sz w:val="22"/>
          <w:szCs w:val="22"/>
        </w:rPr>
      </w:pPr>
      <w:r>
        <w:rPr>
          <w:rFonts w:cstheme="minorHAnsi"/>
          <w:bCs/>
          <w:sz w:val="22"/>
          <w:szCs w:val="22"/>
        </w:rPr>
        <w:t xml:space="preserve">    </w:t>
      </w:r>
      <w:r w:rsidR="00F94B93" w:rsidRPr="00F94B93">
        <w:rPr>
          <w:rFonts w:cstheme="minorHAnsi"/>
          <w:bCs/>
          <w:sz w:val="22"/>
          <w:szCs w:val="22"/>
        </w:rPr>
        <w:t>Simulation Rubric:</w:t>
      </w:r>
    </w:p>
    <w:p w:rsidR="00E6350C" w:rsidRPr="00F94B93" w:rsidRDefault="00E6350C" w:rsidP="00E6350C">
      <w:pPr>
        <w:tabs>
          <w:tab w:val="left" w:pos="4560"/>
        </w:tabs>
        <w:spacing w:before="0"/>
        <w:rPr>
          <w:rFonts w:cstheme="minorHAnsi"/>
          <w:bCs/>
          <w:sz w:val="22"/>
          <w:szCs w:val="22"/>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gridCol w:w="2610"/>
        <w:gridCol w:w="2700"/>
      </w:tblGrid>
      <w:tr w:rsidR="00F94B93" w:rsidRPr="00F94B93" w:rsidTr="00C51374">
        <w:tc>
          <w:tcPr>
            <w:tcW w:w="234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Needs Improvement</w:t>
            </w:r>
          </w:p>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(mark less than 50)</w:t>
            </w:r>
          </w:p>
        </w:tc>
        <w:tc>
          <w:tcPr>
            <w:tcW w:w="252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Getting There</w:t>
            </w:r>
          </w:p>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(mark between 50 and 70)</w:t>
            </w:r>
          </w:p>
        </w:tc>
        <w:tc>
          <w:tcPr>
            <w:tcW w:w="261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Good</w:t>
            </w:r>
          </w:p>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(mark between 70 and 80)</w:t>
            </w:r>
          </w:p>
        </w:tc>
        <w:tc>
          <w:tcPr>
            <w:tcW w:w="270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Satisfactory completion</w:t>
            </w:r>
          </w:p>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(mark of 90 or higher)</w:t>
            </w:r>
          </w:p>
        </w:tc>
      </w:tr>
      <w:tr w:rsidR="00F94B93" w:rsidRPr="00F94B93" w:rsidTr="00C51374">
        <w:tc>
          <w:tcPr>
            <w:tcW w:w="234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Simulation lacks the basic requirements as requested by the instructor; the simulation is incomplete; many important details missed</w:t>
            </w:r>
          </w:p>
        </w:tc>
        <w:tc>
          <w:tcPr>
            <w:tcW w:w="252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Simulation is complete, and meets the minimum basic requirements; demonstrates basic understanding and application of theory, but still missing some key details</w:t>
            </w:r>
          </w:p>
        </w:tc>
        <w:tc>
          <w:tcPr>
            <w:tcW w:w="261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Simulation is complete, all required details included, knowledge and application of theory demonstrated</w:t>
            </w:r>
          </w:p>
        </w:tc>
        <w:tc>
          <w:tcPr>
            <w:tcW w:w="2700" w:type="dxa"/>
          </w:tcPr>
          <w:p w:rsidR="00F94B93" w:rsidRPr="00F94B93" w:rsidRDefault="00F94B93" w:rsidP="00F94B93">
            <w:pPr>
              <w:pStyle w:val="BodyText2"/>
              <w:spacing w:before="40" w:after="40" w:line="240" w:lineRule="auto"/>
              <w:rPr>
                <w:rFonts w:cstheme="minorHAnsi"/>
                <w:sz w:val="20"/>
                <w:szCs w:val="20"/>
                <w:lang w:eastAsia="en-US"/>
              </w:rPr>
            </w:pPr>
            <w:r w:rsidRPr="00F94B93">
              <w:rPr>
                <w:rFonts w:cstheme="minorHAnsi"/>
                <w:sz w:val="20"/>
                <w:szCs w:val="20"/>
                <w:lang w:eastAsia="en-US"/>
              </w:rPr>
              <w:t>Simulation is complete, all required details included, knowledge and application of theory / course material and practical experience demonstrated; good attention to detail, student has attempted to take assignment to a higher level of critical thinking, research, planning and implementation</w:t>
            </w:r>
          </w:p>
        </w:tc>
      </w:tr>
    </w:tbl>
    <w:p w:rsidR="00F94B93" w:rsidRDefault="00F94B93" w:rsidP="00F94B93">
      <w:pPr>
        <w:tabs>
          <w:tab w:val="left" w:pos="4560"/>
        </w:tabs>
        <w:rPr>
          <w:rFonts w:cstheme="minorHAnsi"/>
          <w:sz w:val="22"/>
          <w:szCs w:val="22"/>
        </w:rPr>
      </w:pPr>
    </w:p>
    <w:p w:rsidR="00F94B93" w:rsidRDefault="00C51374" w:rsidP="00F94B93">
      <w:pPr>
        <w:tabs>
          <w:tab w:val="left" w:pos="4560"/>
        </w:tabs>
        <w:rPr>
          <w:rFonts w:cstheme="minorHAnsi"/>
          <w:sz w:val="22"/>
          <w:szCs w:val="22"/>
        </w:rPr>
      </w:pPr>
      <w:r w:rsidRPr="00C51374">
        <w:rPr>
          <w:rFonts w:cstheme="minorHAnsi"/>
          <w:sz w:val="22"/>
          <w:szCs w:val="22"/>
        </w:rPr>
        <w:t>Students must satisfactorily complete all Discussion and Simulation Assignments</w:t>
      </w:r>
      <w:r w:rsidR="00E553B5">
        <w:rPr>
          <w:rFonts w:cstheme="minorHAnsi"/>
          <w:sz w:val="22"/>
          <w:szCs w:val="22"/>
        </w:rPr>
        <w:t xml:space="preserve"> </w:t>
      </w:r>
      <w:r w:rsidR="00E553B5" w:rsidRPr="00C51374">
        <w:rPr>
          <w:rFonts w:cstheme="minorHAnsi"/>
          <w:sz w:val="22"/>
          <w:szCs w:val="22"/>
        </w:rPr>
        <w:t>(70/100)</w:t>
      </w:r>
      <w:bookmarkStart w:id="0" w:name="_GoBack"/>
      <w:bookmarkEnd w:id="0"/>
      <w:r w:rsidRPr="00C51374">
        <w:rPr>
          <w:rFonts w:cstheme="minorHAnsi"/>
          <w:sz w:val="22"/>
          <w:szCs w:val="22"/>
        </w:rPr>
        <w:t>, in the time allotted, to receive credit for this course.  Unless prior permission is given by the instructor ahead of time, late assignments will not be marked.</w:t>
      </w:r>
    </w:p>
    <w:p w:rsidR="00F94B93" w:rsidRPr="00F94B93" w:rsidRDefault="00F94B93" w:rsidP="00F94B93">
      <w:pPr>
        <w:tabs>
          <w:tab w:val="left" w:pos="4560"/>
        </w:tabs>
        <w:rPr>
          <w:rFonts w:cstheme="minorHAnsi"/>
          <w:sz w:val="22"/>
          <w:szCs w:val="22"/>
        </w:rPr>
      </w:pPr>
    </w:p>
    <w:p w:rsidR="0069273E" w:rsidRPr="001930F5" w:rsidRDefault="0069273E" w:rsidP="00B5419F">
      <w:pPr>
        <w:pStyle w:val="Title"/>
      </w:pPr>
      <w:r w:rsidRPr="001930F5">
        <w:t>Course Changes</w:t>
      </w:r>
    </w:p>
    <w:p w:rsidR="000C7BEA" w:rsidRPr="0069273E" w:rsidRDefault="0069273E" w:rsidP="0069273E">
      <w:r w:rsidRPr="00C51374">
        <w:t xml:space="preserve">Information contained in this course outline is correct at the time of publication. </w:t>
      </w:r>
      <w:r w:rsidR="001930F5" w:rsidRPr="00C51374">
        <w:t xml:space="preserve"> Content of the course</w:t>
      </w:r>
      <w:r w:rsidR="00BB4C08" w:rsidRPr="00C51374">
        <w:t xml:space="preserve"> is </w:t>
      </w:r>
      <w:r w:rsidRPr="00C51374">
        <w:t>revised on an ongoing basis to ensure relevance to changing educational, employment and marketing needs.  The instructor will endeavour to provide notice of changes to students as soon as possible.  The instructor reserves the right to add or delete material from course</w:t>
      </w:r>
      <w:r w:rsidR="00C51374" w:rsidRPr="00C51374">
        <w:t>s.</w:t>
      </w:r>
    </w:p>
    <w:sectPr w:rsidR="000C7BEA" w:rsidRPr="0069273E" w:rsidSect="00633D48">
      <w:headerReference w:type="default" r:id="rId11"/>
      <w:footerReference w:type="default" r:id="rId12"/>
      <w:pgSz w:w="12240" w:h="15840"/>
      <w:pgMar w:top="432" w:right="720" w:bottom="810" w:left="72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4B" w:rsidRDefault="00D2724B" w:rsidP="00B45226">
      <w:r>
        <w:separator/>
      </w:r>
    </w:p>
  </w:endnote>
  <w:endnote w:type="continuationSeparator" w:id="0">
    <w:p w:rsidR="00D2724B" w:rsidRDefault="00D2724B" w:rsidP="00B4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62" w:rsidRPr="00A038CA" w:rsidRDefault="00546ACD" w:rsidP="00A038CA">
    <w:pPr>
      <w:pStyle w:val="Footer"/>
      <w:pBdr>
        <w:top w:val="thinThickSmallGap" w:sz="24" w:space="1" w:color="622423"/>
      </w:pBdr>
      <w:tabs>
        <w:tab w:val="clear" w:pos="4680"/>
        <w:tab w:val="clear" w:pos="9360"/>
        <w:tab w:val="right" w:pos="10800"/>
      </w:tabs>
      <w:rPr>
        <w:rFonts w:ascii="Calibri" w:eastAsia="Times New Roman" w:hAnsi="Calibri"/>
        <w:sz w:val="20"/>
        <w:szCs w:val="20"/>
      </w:rPr>
    </w:pPr>
    <w:r>
      <w:rPr>
        <w:rFonts w:ascii="Calibri" w:eastAsia="Times New Roman" w:hAnsi="Calibri"/>
        <w:sz w:val="20"/>
        <w:szCs w:val="20"/>
      </w:rPr>
      <w:t xml:space="preserve">Special Event Planning Program Online:  </w:t>
    </w:r>
    <w:r w:rsidR="00734562" w:rsidRPr="00734562">
      <w:rPr>
        <w:rFonts w:ascii="Calibri" w:eastAsia="Times New Roman" w:hAnsi="Calibri"/>
        <w:sz w:val="20"/>
        <w:szCs w:val="20"/>
      </w:rPr>
      <w:t xml:space="preserve"> </w:t>
    </w:r>
    <w:r>
      <w:rPr>
        <w:rFonts w:ascii="Calibri" w:eastAsia="Times New Roman" w:hAnsi="Calibri"/>
        <w:sz w:val="20"/>
        <w:szCs w:val="20"/>
      </w:rPr>
      <w:t>Aug 2019</w:t>
    </w:r>
    <w:r w:rsidR="00734562" w:rsidRPr="00734562">
      <w:rPr>
        <w:rFonts w:ascii="Calibri" w:eastAsia="Times New Roman" w:hAnsi="Calibri"/>
        <w:sz w:val="20"/>
        <w:szCs w:val="20"/>
      </w:rPr>
      <w:tab/>
    </w:r>
    <w:r w:rsidR="0069273E" w:rsidRPr="0069273E">
      <w:rPr>
        <w:rFonts w:ascii="Calibri" w:eastAsia="Times New Roman" w:hAnsi="Calibri"/>
        <w:sz w:val="20"/>
        <w:szCs w:val="20"/>
      </w:rPr>
      <w:t xml:space="preserve">Page </w:t>
    </w:r>
    <w:r w:rsidR="0069273E" w:rsidRPr="0069273E">
      <w:rPr>
        <w:rFonts w:ascii="Calibri" w:eastAsia="Times New Roman" w:hAnsi="Calibri"/>
        <w:b/>
        <w:bCs/>
        <w:sz w:val="20"/>
        <w:szCs w:val="20"/>
      </w:rPr>
      <w:fldChar w:fldCharType="begin"/>
    </w:r>
    <w:r w:rsidR="0069273E" w:rsidRPr="0069273E">
      <w:rPr>
        <w:rFonts w:ascii="Calibri" w:eastAsia="Times New Roman" w:hAnsi="Calibri"/>
        <w:b/>
        <w:bCs/>
        <w:sz w:val="20"/>
        <w:szCs w:val="20"/>
      </w:rPr>
      <w:instrText xml:space="preserve"> PAGE  \* Arabic  \* MERGEFORMAT </w:instrText>
    </w:r>
    <w:r w:rsidR="0069273E" w:rsidRPr="0069273E">
      <w:rPr>
        <w:rFonts w:ascii="Calibri" w:eastAsia="Times New Roman" w:hAnsi="Calibri"/>
        <w:b/>
        <w:bCs/>
        <w:sz w:val="20"/>
        <w:szCs w:val="20"/>
      </w:rPr>
      <w:fldChar w:fldCharType="separate"/>
    </w:r>
    <w:r w:rsidR="009C7815">
      <w:rPr>
        <w:rFonts w:ascii="Calibri" w:eastAsia="Times New Roman" w:hAnsi="Calibri"/>
        <w:b/>
        <w:bCs/>
        <w:noProof/>
        <w:sz w:val="20"/>
        <w:szCs w:val="20"/>
      </w:rPr>
      <w:t>5</w:t>
    </w:r>
    <w:r w:rsidR="0069273E" w:rsidRPr="0069273E">
      <w:rPr>
        <w:rFonts w:ascii="Calibri" w:eastAsia="Times New Roman" w:hAnsi="Calibri"/>
        <w:b/>
        <w:bCs/>
        <w:sz w:val="20"/>
        <w:szCs w:val="20"/>
      </w:rPr>
      <w:fldChar w:fldCharType="end"/>
    </w:r>
    <w:r w:rsidR="0069273E" w:rsidRPr="0069273E">
      <w:rPr>
        <w:rFonts w:ascii="Calibri" w:eastAsia="Times New Roman" w:hAnsi="Calibri"/>
        <w:sz w:val="20"/>
        <w:szCs w:val="20"/>
      </w:rPr>
      <w:t xml:space="preserve"> of </w:t>
    </w:r>
    <w:r w:rsidR="0069273E" w:rsidRPr="0069273E">
      <w:rPr>
        <w:rFonts w:ascii="Calibri" w:eastAsia="Times New Roman" w:hAnsi="Calibri"/>
        <w:b/>
        <w:bCs/>
        <w:sz w:val="20"/>
        <w:szCs w:val="20"/>
      </w:rPr>
      <w:fldChar w:fldCharType="begin"/>
    </w:r>
    <w:r w:rsidR="0069273E" w:rsidRPr="0069273E">
      <w:rPr>
        <w:rFonts w:ascii="Calibri" w:eastAsia="Times New Roman" w:hAnsi="Calibri"/>
        <w:b/>
        <w:bCs/>
        <w:sz w:val="20"/>
        <w:szCs w:val="20"/>
      </w:rPr>
      <w:instrText xml:space="preserve"> NUMPAGES  \* Arabic  \* MERGEFORMAT </w:instrText>
    </w:r>
    <w:r w:rsidR="0069273E" w:rsidRPr="0069273E">
      <w:rPr>
        <w:rFonts w:ascii="Calibri" w:eastAsia="Times New Roman" w:hAnsi="Calibri"/>
        <w:b/>
        <w:bCs/>
        <w:sz w:val="20"/>
        <w:szCs w:val="20"/>
      </w:rPr>
      <w:fldChar w:fldCharType="separate"/>
    </w:r>
    <w:r w:rsidR="009C7815">
      <w:rPr>
        <w:rFonts w:ascii="Calibri" w:eastAsia="Times New Roman" w:hAnsi="Calibri"/>
        <w:b/>
        <w:bCs/>
        <w:noProof/>
        <w:sz w:val="20"/>
        <w:szCs w:val="20"/>
      </w:rPr>
      <w:t>5</w:t>
    </w:r>
    <w:r w:rsidR="0069273E" w:rsidRPr="0069273E">
      <w:rPr>
        <w:rFonts w:ascii="Calibri" w:eastAsia="Times New Roman" w:hAnsi="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4B" w:rsidRDefault="00D2724B" w:rsidP="00B45226">
      <w:r>
        <w:separator/>
      </w:r>
    </w:p>
  </w:footnote>
  <w:footnote w:type="continuationSeparator" w:id="0">
    <w:p w:rsidR="00D2724B" w:rsidRDefault="00D2724B" w:rsidP="00B4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4210"/>
      <w:gridCol w:w="6482"/>
    </w:tblGrid>
    <w:tr w:rsidR="00712652" w:rsidRPr="00CF1130" w:rsidTr="00B5419F">
      <w:trPr>
        <w:trHeight w:val="1170"/>
      </w:trPr>
      <w:tc>
        <w:tcPr>
          <w:tcW w:w="4106" w:type="dxa"/>
        </w:tcPr>
        <w:p w:rsidR="00712652" w:rsidRPr="003600FB" w:rsidRDefault="00F85375" w:rsidP="00712652">
          <w:pPr>
            <w:pStyle w:val="Heading3"/>
            <w:spacing w:before="0" w:after="0"/>
            <w:rPr>
              <w:rFonts w:ascii="Calibri" w:hAnsi="Calibri"/>
              <w:b w:val="0"/>
              <w:noProof/>
              <w:sz w:val="16"/>
              <w:szCs w:val="16"/>
            </w:rPr>
          </w:pPr>
          <w:r>
            <w:rPr>
              <w:rFonts w:ascii="Calibri" w:hAnsi="Calibri"/>
              <w:b w:val="0"/>
              <w:noProof/>
              <w:sz w:val="16"/>
              <w:szCs w:val="16"/>
              <w:lang w:eastAsia="en-US"/>
            </w:rPr>
            <w:drawing>
              <wp:inline distT="0" distB="0" distL="0" distR="0">
                <wp:extent cx="2536466" cy="728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R-02 MASTER LOGOS_CMYK-Primary.wmf"/>
                        <pic:cNvPicPr/>
                      </pic:nvPicPr>
                      <pic:blipFill>
                        <a:blip r:embed="rId1">
                          <a:extLst>
                            <a:ext uri="{28A0092B-C50C-407E-A947-70E740481C1C}">
                              <a14:useLocalDpi xmlns:a14="http://schemas.microsoft.com/office/drawing/2010/main" val="0"/>
                            </a:ext>
                          </a:extLst>
                        </a:blip>
                        <a:stretch>
                          <a:fillRect/>
                        </a:stretch>
                      </pic:blipFill>
                      <pic:spPr>
                        <a:xfrm>
                          <a:off x="0" y="0"/>
                          <a:ext cx="2578707" cy="740330"/>
                        </a:xfrm>
                        <a:prstGeom prst="rect">
                          <a:avLst/>
                        </a:prstGeom>
                      </pic:spPr>
                    </pic:pic>
                  </a:graphicData>
                </a:graphic>
              </wp:inline>
            </w:drawing>
          </w:r>
        </w:p>
      </w:tc>
      <w:tc>
        <w:tcPr>
          <w:tcW w:w="6561" w:type="dxa"/>
          <w:vAlign w:val="center"/>
        </w:tcPr>
        <w:p w:rsidR="00712652" w:rsidRDefault="00F85375" w:rsidP="00B5419F">
          <w:pPr>
            <w:pStyle w:val="Heading3"/>
            <w:spacing w:after="0"/>
            <w:jc w:val="right"/>
            <w:rPr>
              <w:rFonts w:ascii="Calibri" w:hAnsi="Calibri"/>
              <w:sz w:val="36"/>
              <w:szCs w:val="36"/>
            </w:rPr>
          </w:pPr>
          <w:r>
            <w:rPr>
              <w:rFonts w:ascii="Calibri" w:hAnsi="Calibri"/>
              <w:sz w:val="36"/>
              <w:szCs w:val="36"/>
            </w:rPr>
            <w:t>Special Event Planning Program - Online</w:t>
          </w:r>
        </w:p>
        <w:p w:rsidR="00712652" w:rsidRPr="0033296E" w:rsidRDefault="00B5419F" w:rsidP="00B5419F">
          <w:pPr>
            <w:pStyle w:val="Title"/>
            <w:jc w:val="right"/>
          </w:pPr>
          <w:r>
            <w:t>Program</w:t>
          </w:r>
          <w:r w:rsidR="0033296E" w:rsidRPr="000A6707">
            <w:t xml:space="preserve"> Outli</w:t>
          </w:r>
          <w:r w:rsidR="0033296E">
            <w:t>ne</w:t>
          </w:r>
        </w:p>
      </w:tc>
    </w:tr>
  </w:tbl>
  <w:p w:rsidR="00712652" w:rsidRPr="001008FF" w:rsidRDefault="00712652" w:rsidP="00712652">
    <w:pPr>
      <w:pStyle w:val="Header"/>
      <w:pBdr>
        <w:bottom w:val="thickThinSmallGap" w:sz="24" w:space="1" w:color="622423" w:themeColor="accent2" w:themeShade="7F"/>
      </w:pBdr>
      <w:jc w:val="center"/>
      <w:rPr>
        <w:rFonts w:asciiTheme="majorHAnsi" w:eastAsiaTheme="majorEastAsia" w:hAnsiTheme="majorHAnsi" w:cstheme="majorBidi"/>
        <w:sz w:val="2"/>
        <w:szCs w:val="2"/>
      </w:rPr>
    </w:pPr>
  </w:p>
  <w:p w:rsidR="00712652" w:rsidRPr="00712652" w:rsidRDefault="00712652" w:rsidP="0071265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A16"/>
    <w:multiLevelType w:val="hybridMultilevel"/>
    <w:tmpl w:val="45843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F603C"/>
    <w:multiLevelType w:val="hybridMultilevel"/>
    <w:tmpl w:val="AA5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752"/>
    <w:multiLevelType w:val="hybridMultilevel"/>
    <w:tmpl w:val="4D10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068F"/>
    <w:multiLevelType w:val="hybridMultilevel"/>
    <w:tmpl w:val="918AB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7D22E7"/>
    <w:multiLevelType w:val="hybridMultilevel"/>
    <w:tmpl w:val="473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13BA3"/>
    <w:multiLevelType w:val="hybridMultilevel"/>
    <w:tmpl w:val="33D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20513"/>
    <w:multiLevelType w:val="hybridMultilevel"/>
    <w:tmpl w:val="AB50A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666C95"/>
    <w:multiLevelType w:val="hybridMultilevel"/>
    <w:tmpl w:val="D4D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064A"/>
    <w:multiLevelType w:val="hybridMultilevel"/>
    <w:tmpl w:val="09C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6A67"/>
    <w:multiLevelType w:val="hybridMultilevel"/>
    <w:tmpl w:val="90767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770AE5"/>
    <w:multiLevelType w:val="hybridMultilevel"/>
    <w:tmpl w:val="592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B2925"/>
    <w:multiLevelType w:val="hybridMultilevel"/>
    <w:tmpl w:val="6F5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545AF"/>
    <w:multiLevelType w:val="hybridMultilevel"/>
    <w:tmpl w:val="119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46839"/>
    <w:multiLevelType w:val="hybridMultilevel"/>
    <w:tmpl w:val="1B46D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2D1B8F"/>
    <w:multiLevelType w:val="hybridMultilevel"/>
    <w:tmpl w:val="E61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82826"/>
    <w:multiLevelType w:val="hybridMultilevel"/>
    <w:tmpl w:val="0EC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17A1C"/>
    <w:multiLevelType w:val="hybridMultilevel"/>
    <w:tmpl w:val="962C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943DE"/>
    <w:multiLevelType w:val="hybridMultilevel"/>
    <w:tmpl w:val="DEA60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756A85"/>
    <w:multiLevelType w:val="hybridMultilevel"/>
    <w:tmpl w:val="98C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812ED"/>
    <w:multiLevelType w:val="hybridMultilevel"/>
    <w:tmpl w:val="9E0E16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26232C"/>
    <w:multiLevelType w:val="hybridMultilevel"/>
    <w:tmpl w:val="FCB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E5474"/>
    <w:multiLevelType w:val="hybridMultilevel"/>
    <w:tmpl w:val="79F63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6237AD"/>
    <w:multiLevelType w:val="hybridMultilevel"/>
    <w:tmpl w:val="736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76284"/>
    <w:multiLevelType w:val="hybridMultilevel"/>
    <w:tmpl w:val="48F65F7A"/>
    <w:lvl w:ilvl="0" w:tplc="3D404178">
      <w:start w:val="1"/>
      <w:numFmt w:val="bullet"/>
      <w:lvlText w:val=""/>
      <w:lvlJc w:val="left"/>
      <w:pPr>
        <w:tabs>
          <w:tab w:val="num" w:pos="644"/>
        </w:tabs>
        <w:ind w:left="644" w:hanging="284"/>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79C95FEB"/>
    <w:multiLevelType w:val="hybridMultilevel"/>
    <w:tmpl w:val="A97A5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1"/>
  </w:num>
  <w:num w:numId="4">
    <w:abstractNumId w:val="6"/>
  </w:num>
  <w:num w:numId="5">
    <w:abstractNumId w:val="13"/>
  </w:num>
  <w:num w:numId="6">
    <w:abstractNumId w:val="9"/>
  </w:num>
  <w:num w:numId="7">
    <w:abstractNumId w:val="0"/>
  </w:num>
  <w:num w:numId="8">
    <w:abstractNumId w:val="17"/>
  </w:num>
  <w:num w:numId="9">
    <w:abstractNumId w:val="3"/>
  </w:num>
  <w:num w:numId="10">
    <w:abstractNumId w:val="11"/>
  </w:num>
  <w:num w:numId="11">
    <w:abstractNumId w:val="15"/>
  </w:num>
  <w:num w:numId="12">
    <w:abstractNumId w:val="5"/>
  </w:num>
  <w:num w:numId="13">
    <w:abstractNumId w:val="18"/>
  </w:num>
  <w:num w:numId="14">
    <w:abstractNumId w:val="10"/>
  </w:num>
  <w:num w:numId="15">
    <w:abstractNumId w:val="7"/>
  </w:num>
  <w:num w:numId="16">
    <w:abstractNumId w:val="22"/>
  </w:num>
  <w:num w:numId="17">
    <w:abstractNumId w:val="8"/>
  </w:num>
  <w:num w:numId="18">
    <w:abstractNumId w:val="19"/>
  </w:num>
  <w:num w:numId="19">
    <w:abstractNumId w:val="16"/>
  </w:num>
  <w:num w:numId="20">
    <w:abstractNumId w:val="4"/>
  </w:num>
  <w:num w:numId="21">
    <w:abstractNumId w:val="14"/>
  </w:num>
  <w:num w:numId="22">
    <w:abstractNumId w:val="1"/>
  </w:num>
  <w:num w:numId="23">
    <w:abstractNumId w:val="12"/>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C"/>
    <w:rsid w:val="00004661"/>
    <w:rsid w:val="00035156"/>
    <w:rsid w:val="000377F3"/>
    <w:rsid w:val="00054F19"/>
    <w:rsid w:val="000A6707"/>
    <w:rsid w:val="000C6D19"/>
    <w:rsid w:val="000C7BEA"/>
    <w:rsid w:val="000E7F01"/>
    <w:rsid w:val="000F7EF0"/>
    <w:rsid w:val="00112557"/>
    <w:rsid w:val="001226E0"/>
    <w:rsid w:val="00147957"/>
    <w:rsid w:val="001558F6"/>
    <w:rsid w:val="0018127F"/>
    <w:rsid w:val="001930F5"/>
    <w:rsid w:val="001A13C7"/>
    <w:rsid w:val="001D0D5F"/>
    <w:rsid w:val="001D465E"/>
    <w:rsid w:val="001F67E2"/>
    <w:rsid w:val="0020397C"/>
    <w:rsid w:val="00211204"/>
    <w:rsid w:val="002324FE"/>
    <w:rsid w:val="00294BA8"/>
    <w:rsid w:val="002968C5"/>
    <w:rsid w:val="002A4F3A"/>
    <w:rsid w:val="002D0DAD"/>
    <w:rsid w:val="002E3025"/>
    <w:rsid w:val="002E4136"/>
    <w:rsid w:val="0030497D"/>
    <w:rsid w:val="003200D9"/>
    <w:rsid w:val="0032449C"/>
    <w:rsid w:val="00325D1F"/>
    <w:rsid w:val="0033296E"/>
    <w:rsid w:val="00356989"/>
    <w:rsid w:val="00387EEF"/>
    <w:rsid w:val="003C0CEE"/>
    <w:rsid w:val="003D1724"/>
    <w:rsid w:val="003D6259"/>
    <w:rsid w:val="00400A7F"/>
    <w:rsid w:val="00415A9C"/>
    <w:rsid w:val="00430FA3"/>
    <w:rsid w:val="004405BB"/>
    <w:rsid w:val="004B2EF8"/>
    <w:rsid w:val="004C3EFE"/>
    <w:rsid w:val="004C623A"/>
    <w:rsid w:val="004E4A63"/>
    <w:rsid w:val="005029F4"/>
    <w:rsid w:val="005109A3"/>
    <w:rsid w:val="005214E0"/>
    <w:rsid w:val="00546ACD"/>
    <w:rsid w:val="0055075D"/>
    <w:rsid w:val="0056045B"/>
    <w:rsid w:val="005947D7"/>
    <w:rsid w:val="005A4195"/>
    <w:rsid w:val="005D25C4"/>
    <w:rsid w:val="006001B6"/>
    <w:rsid w:val="00607865"/>
    <w:rsid w:val="00615A76"/>
    <w:rsid w:val="00633D48"/>
    <w:rsid w:val="00644C08"/>
    <w:rsid w:val="00652B9C"/>
    <w:rsid w:val="00666FBB"/>
    <w:rsid w:val="0069273E"/>
    <w:rsid w:val="006C0F14"/>
    <w:rsid w:val="006D2170"/>
    <w:rsid w:val="006E63E7"/>
    <w:rsid w:val="00712652"/>
    <w:rsid w:val="00733CBF"/>
    <w:rsid w:val="00734562"/>
    <w:rsid w:val="00756E38"/>
    <w:rsid w:val="007831E1"/>
    <w:rsid w:val="007958C2"/>
    <w:rsid w:val="007963A6"/>
    <w:rsid w:val="007A53D6"/>
    <w:rsid w:val="007D1D04"/>
    <w:rsid w:val="00815B28"/>
    <w:rsid w:val="00835A58"/>
    <w:rsid w:val="00837C34"/>
    <w:rsid w:val="00842A19"/>
    <w:rsid w:val="0084532D"/>
    <w:rsid w:val="00860AEF"/>
    <w:rsid w:val="00863037"/>
    <w:rsid w:val="008666F9"/>
    <w:rsid w:val="00874FB1"/>
    <w:rsid w:val="008805A0"/>
    <w:rsid w:val="00891C98"/>
    <w:rsid w:val="00891CA9"/>
    <w:rsid w:val="0089637F"/>
    <w:rsid w:val="008C1969"/>
    <w:rsid w:val="008D544B"/>
    <w:rsid w:val="008D60AC"/>
    <w:rsid w:val="008E2CB9"/>
    <w:rsid w:val="00912D1E"/>
    <w:rsid w:val="0096429E"/>
    <w:rsid w:val="00964A5D"/>
    <w:rsid w:val="00964B72"/>
    <w:rsid w:val="00972061"/>
    <w:rsid w:val="009808F8"/>
    <w:rsid w:val="009905B6"/>
    <w:rsid w:val="00991C62"/>
    <w:rsid w:val="00997C2B"/>
    <w:rsid w:val="009A69D8"/>
    <w:rsid w:val="009C7815"/>
    <w:rsid w:val="009F54BA"/>
    <w:rsid w:val="00A001DA"/>
    <w:rsid w:val="00A00C30"/>
    <w:rsid w:val="00A038CA"/>
    <w:rsid w:val="00A0732F"/>
    <w:rsid w:val="00A2222F"/>
    <w:rsid w:val="00A413DE"/>
    <w:rsid w:val="00A42ED8"/>
    <w:rsid w:val="00A4740F"/>
    <w:rsid w:val="00A52B68"/>
    <w:rsid w:val="00A64BA7"/>
    <w:rsid w:val="00A7650C"/>
    <w:rsid w:val="00A81528"/>
    <w:rsid w:val="00AA73CA"/>
    <w:rsid w:val="00AB2053"/>
    <w:rsid w:val="00AC1C9A"/>
    <w:rsid w:val="00AD2735"/>
    <w:rsid w:val="00AF01C5"/>
    <w:rsid w:val="00B41CC3"/>
    <w:rsid w:val="00B4236E"/>
    <w:rsid w:val="00B45226"/>
    <w:rsid w:val="00B46FE9"/>
    <w:rsid w:val="00B5419F"/>
    <w:rsid w:val="00B64E9D"/>
    <w:rsid w:val="00B771B9"/>
    <w:rsid w:val="00BB4C08"/>
    <w:rsid w:val="00BF24D1"/>
    <w:rsid w:val="00BF6D6B"/>
    <w:rsid w:val="00C06996"/>
    <w:rsid w:val="00C1106C"/>
    <w:rsid w:val="00C14AC4"/>
    <w:rsid w:val="00C153E4"/>
    <w:rsid w:val="00C51374"/>
    <w:rsid w:val="00C56588"/>
    <w:rsid w:val="00C568B3"/>
    <w:rsid w:val="00C574E5"/>
    <w:rsid w:val="00C774AB"/>
    <w:rsid w:val="00CA78BA"/>
    <w:rsid w:val="00CA78CA"/>
    <w:rsid w:val="00CB43D1"/>
    <w:rsid w:val="00CC6981"/>
    <w:rsid w:val="00CC7FA1"/>
    <w:rsid w:val="00CD61FF"/>
    <w:rsid w:val="00CF3E08"/>
    <w:rsid w:val="00D02011"/>
    <w:rsid w:val="00D2724B"/>
    <w:rsid w:val="00D60594"/>
    <w:rsid w:val="00D71383"/>
    <w:rsid w:val="00D843E8"/>
    <w:rsid w:val="00D9488A"/>
    <w:rsid w:val="00E00576"/>
    <w:rsid w:val="00E10AEE"/>
    <w:rsid w:val="00E17F3F"/>
    <w:rsid w:val="00E22526"/>
    <w:rsid w:val="00E26F25"/>
    <w:rsid w:val="00E47C03"/>
    <w:rsid w:val="00E54D73"/>
    <w:rsid w:val="00E553B5"/>
    <w:rsid w:val="00E6350C"/>
    <w:rsid w:val="00E7706B"/>
    <w:rsid w:val="00EA13AE"/>
    <w:rsid w:val="00EC795B"/>
    <w:rsid w:val="00ED43D3"/>
    <w:rsid w:val="00EF35A1"/>
    <w:rsid w:val="00EF64B1"/>
    <w:rsid w:val="00F429F6"/>
    <w:rsid w:val="00F804AC"/>
    <w:rsid w:val="00F82DB2"/>
    <w:rsid w:val="00F85375"/>
    <w:rsid w:val="00F94B93"/>
    <w:rsid w:val="00F94BE6"/>
    <w:rsid w:val="00FB0EA4"/>
    <w:rsid w:val="00FC4004"/>
    <w:rsid w:val="00FC7557"/>
    <w:rsid w:val="00FF7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CFB8"/>
  <w15:docId w15:val="{CFE74CD6-FD27-47C8-A4A6-9F650307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EFE"/>
    <w:pPr>
      <w:spacing w:before="120"/>
    </w:pPr>
    <w:rPr>
      <w:rFonts w:asciiTheme="minorHAnsi" w:hAnsiTheme="minorHAnsi"/>
      <w:sz w:val="24"/>
      <w:szCs w:val="24"/>
      <w:lang w:val="en-US" w:eastAsia="zh-CN"/>
    </w:rPr>
  </w:style>
  <w:style w:type="paragraph" w:styleId="Heading1">
    <w:name w:val="heading 1"/>
    <w:basedOn w:val="Normal"/>
    <w:next w:val="Normal"/>
    <w:link w:val="Heading1Char"/>
    <w:uiPriority w:val="9"/>
    <w:qFormat/>
    <w:rsid w:val="000A6707"/>
    <w:pPr>
      <w:keepNext/>
      <w:keepLines/>
      <w:spacing w:before="1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semiHidden/>
    <w:unhideWhenUsed/>
    <w:qFormat/>
    <w:rsid w:val="006927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265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Pr>
      <w:rFonts w:ascii="Arial" w:hAnsi="Arial" w:cs="Arial" w:hint="default"/>
      <w:b w:val="0"/>
      <w:bCs w:val="0"/>
      <w:i w:val="0"/>
      <w:iCs w:val="0"/>
      <w:strike w:val="0"/>
      <w:dstrike w:val="0"/>
      <w:color w:val="auto"/>
      <w:sz w:val="24"/>
      <w:szCs w:val="24"/>
      <w:u w:val="none"/>
      <w:effect w:val="none"/>
    </w:rPr>
  </w:style>
  <w:style w:type="paragraph" w:styleId="BodyText">
    <w:name w:val="Body Text"/>
    <w:basedOn w:val="Normal"/>
    <w:rPr>
      <w:rFonts w:ascii="Arial" w:hAnsi="Arial" w:cs="Arial"/>
      <w:bCs/>
      <w:sz w:val="20"/>
      <w:szCs w:val="20"/>
    </w:rPr>
  </w:style>
  <w:style w:type="character" w:styleId="Hyperlink">
    <w:name w:val="Hyperlink"/>
    <w:uiPriority w:val="99"/>
    <w:unhideWhenUsed/>
    <w:rsid w:val="001F67E2"/>
    <w:rPr>
      <w:color w:val="0000FF"/>
      <w:u w:val="single"/>
    </w:rPr>
  </w:style>
  <w:style w:type="character" w:styleId="FollowedHyperlink">
    <w:name w:val="FollowedHyperlink"/>
    <w:uiPriority w:val="99"/>
    <w:semiHidden/>
    <w:unhideWhenUsed/>
    <w:rsid w:val="00A52B68"/>
    <w:rPr>
      <w:color w:val="800080"/>
      <w:u w:val="single"/>
    </w:rPr>
  </w:style>
  <w:style w:type="paragraph" w:styleId="BalloonText">
    <w:name w:val="Balloon Text"/>
    <w:basedOn w:val="Normal"/>
    <w:link w:val="BalloonTextChar"/>
    <w:uiPriority w:val="99"/>
    <w:semiHidden/>
    <w:unhideWhenUsed/>
    <w:rsid w:val="00A52B68"/>
    <w:rPr>
      <w:rFonts w:ascii="Tahoma" w:hAnsi="Tahoma" w:cs="Tahoma"/>
      <w:sz w:val="16"/>
      <w:szCs w:val="16"/>
    </w:rPr>
  </w:style>
  <w:style w:type="character" w:customStyle="1" w:styleId="BalloonTextChar">
    <w:name w:val="Balloon Text Char"/>
    <w:link w:val="BalloonText"/>
    <w:uiPriority w:val="99"/>
    <w:semiHidden/>
    <w:rsid w:val="00A52B68"/>
    <w:rPr>
      <w:rFonts w:ascii="Tahoma" w:hAnsi="Tahoma" w:cs="Tahoma"/>
      <w:sz w:val="16"/>
      <w:szCs w:val="16"/>
      <w:lang w:eastAsia="zh-CN"/>
    </w:rPr>
  </w:style>
  <w:style w:type="paragraph" w:styleId="Header">
    <w:name w:val="header"/>
    <w:basedOn w:val="Normal"/>
    <w:link w:val="HeaderChar"/>
    <w:uiPriority w:val="99"/>
    <w:unhideWhenUsed/>
    <w:rsid w:val="00B45226"/>
    <w:pPr>
      <w:tabs>
        <w:tab w:val="center" w:pos="4680"/>
        <w:tab w:val="right" w:pos="9360"/>
      </w:tabs>
    </w:pPr>
  </w:style>
  <w:style w:type="character" w:customStyle="1" w:styleId="HeaderChar">
    <w:name w:val="Header Char"/>
    <w:link w:val="Header"/>
    <w:uiPriority w:val="99"/>
    <w:rsid w:val="00B45226"/>
    <w:rPr>
      <w:sz w:val="24"/>
      <w:szCs w:val="24"/>
      <w:lang w:eastAsia="zh-CN"/>
    </w:rPr>
  </w:style>
  <w:style w:type="paragraph" w:styleId="Footer">
    <w:name w:val="footer"/>
    <w:basedOn w:val="Normal"/>
    <w:link w:val="FooterChar"/>
    <w:uiPriority w:val="99"/>
    <w:unhideWhenUsed/>
    <w:rsid w:val="00B45226"/>
    <w:pPr>
      <w:tabs>
        <w:tab w:val="center" w:pos="4680"/>
        <w:tab w:val="right" w:pos="9360"/>
      </w:tabs>
    </w:pPr>
  </w:style>
  <w:style w:type="character" w:customStyle="1" w:styleId="FooterChar">
    <w:name w:val="Footer Char"/>
    <w:link w:val="Footer"/>
    <w:uiPriority w:val="99"/>
    <w:rsid w:val="00B45226"/>
    <w:rPr>
      <w:sz w:val="24"/>
      <w:szCs w:val="24"/>
      <w:lang w:eastAsia="zh-CN"/>
    </w:rPr>
  </w:style>
  <w:style w:type="table" w:styleId="TableGrid">
    <w:name w:val="Table Grid"/>
    <w:basedOn w:val="TableNormal"/>
    <w:uiPriority w:val="59"/>
    <w:rsid w:val="00EF64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712652"/>
    <w:rPr>
      <w:rFonts w:ascii="Cambria" w:eastAsia="Times New Roman" w:hAnsi="Cambria"/>
      <w:b/>
      <w:bCs/>
      <w:sz w:val="26"/>
      <w:szCs w:val="26"/>
      <w:lang w:val="en-US" w:eastAsia="zh-CN"/>
    </w:rPr>
  </w:style>
  <w:style w:type="character" w:customStyle="1" w:styleId="Heading1Char">
    <w:name w:val="Heading 1 Char"/>
    <w:basedOn w:val="DefaultParagraphFont"/>
    <w:link w:val="Heading1"/>
    <w:uiPriority w:val="9"/>
    <w:rsid w:val="000A6707"/>
    <w:rPr>
      <w:rFonts w:asciiTheme="minorHAnsi" w:eastAsiaTheme="majorEastAsia" w:hAnsiTheme="minorHAnsi" w:cstheme="majorBidi"/>
      <w:b/>
      <w:bCs/>
      <w:color w:val="000000" w:themeColor="text1"/>
      <w:sz w:val="28"/>
      <w:szCs w:val="28"/>
      <w:u w:val="single"/>
      <w:lang w:val="en-US" w:eastAsia="zh-CN"/>
    </w:rPr>
  </w:style>
  <w:style w:type="character" w:customStyle="1" w:styleId="Heading2Char">
    <w:name w:val="Heading 2 Char"/>
    <w:basedOn w:val="DefaultParagraphFont"/>
    <w:link w:val="Heading2"/>
    <w:uiPriority w:val="9"/>
    <w:semiHidden/>
    <w:rsid w:val="0069273E"/>
    <w:rPr>
      <w:rFonts w:asciiTheme="majorHAnsi" w:eastAsiaTheme="majorEastAsia" w:hAnsiTheme="majorHAnsi" w:cstheme="majorBidi"/>
      <w:color w:val="365F91" w:themeColor="accent1" w:themeShade="BF"/>
      <w:sz w:val="26"/>
      <w:szCs w:val="26"/>
      <w:lang w:val="en-US" w:eastAsia="zh-CN"/>
    </w:rPr>
  </w:style>
  <w:style w:type="paragraph" w:styleId="ListParagraph">
    <w:name w:val="List Paragraph"/>
    <w:basedOn w:val="Normal"/>
    <w:uiPriority w:val="34"/>
    <w:qFormat/>
    <w:rsid w:val="0069273E"/>
    <w:pPr>
      <w:spacing w:before="240"/>
      <w:ind w:left="720"/>
      <w:contextualSpacing/>
    </w:pPr>
    <w:rPr>
      <w:rFonts w:eastAsia="Times New Roman"/>
      <w:lang w:eastAsia="en-US"/>
    </w:rPr>
  </w:style>
  <w:style w:type="paragraph" w:styleId="Title">
    <w:name w:val="Title"/>
    <w:basedOn w:val="Normal"/>
    <w:next w:val="Normal"/>
    <w:link w:val="TitleChar"/>
    <w:uiPriority w:val="10"/>
    <w:qFormat/>
    <w:rsid w:val="000A6707"/>
    <w:pPr>
      <w:contextualSpacing/>
    </w:pPr>
    <w:rPr>
      <w:rFonts w:eastAsiaTheme="majorEastAsia" w:cstheme="majorBidi"/>
      <w:color w:val="0070C0"/>
      <w:spacing w:val="-10"/>
      <w:kern w:val="28"/>
      <w:sz w:val="36"/>
      <w:szCs w:val="56"/>
    </w:rPr>
  </w:style>
  <w:style w:type="character" w:customStyle="1" w:styleId="TitleChar">
    <w:name w:val="Title Char"/>
    <w:basedOn w:val="DefaultParagraphFont"/>
    <w:link w:val="Title"/>
    <w:uiPriority w:val="10"/>
    <w:rsid w:val="000A6707"/>
    <w:rPr>
      <w:rFonts w:asciiTheme="minorHAnsi" w:eastAsiaTheme="majorEastAsia" w:hAnsiTheme="minorHAnsi" w:cstheme="majorBidi"/>
      <w:color w:val="0070C0"/>
      <w:spacing w:val="-10"/>
      <w:kern w:val="28"/>
      <w:sz w:val="36"/>
      <w:szCs w:val="56"/>
      <w:lang w:val="en-US" w:eastAsia="zh-CN"/>
    </w:rPr>
  </w:style>
  <w:style w:type="paragraph" w:styleId="Subtitle">
    <w:name w:val="Subtitle"/>
    <w:basedOn w:val="Normal"/>
    <w:next w:val="Normal"/>
    <w:link w:val="SubtitleChar"/>
    <w:uiPriority w:val="11"/>
    <w:qFormat/>
    <w:rsid w:val="001930F5"/>
    <w:pPr>
      <w:numPr>
        <w:ilvl w:val="1"/>
      </w:numPr>
    </w:pPr>
    <w:rPr>
      <w:rFonts w:eastAsiaTheme="minorEastAsia" w:cstheme="minorBidi"/>
      <w:b/>
      <w:color w:val="FF0000"/>
      <w:spacing w:val="15"/>
      <w:sz w:val="32"/>
      <w:szCs w:val="22"/>
      <w:u w:val="single"/>
    </w:rPr>
  </w:style>
  <w:style w:type="character" w:customStyle="1" w:styleId="SubtitleChar">
    <w:name w:val="Subtitle Char"/>
    <w:basedOn w:val="DefaultParagraphFont"/>
    <w:link w:val="Subtitle"/>
    <w:uiPriority w:val="11"/>
    <w:rsid w:val="001930F5"/>
    <w:rPr>
      <w:rFonts w:asciiTheme="minorHAnsi" w:eastAsiaTheme="minorEastAsia" w:hAnsiTheme="minorHAnsi" w:cstheme="minorBidi"/>
      <w:b/>
      <w:color w:val="FF0000"/>
      <w:spacing w:val="15"/>
      <w:sz w:val="32"/>
      <w:szCs w:val="22"/>
      <w:u w:val="single"/>
      <w:lang w:val="en-US" w:eastAsia="zh-CN"/>
    </w:rPr>
  </w:style>
  <w:style w:type="paragraph" w:styleId="BodyText2">
    <w:name w:val="Body Text 2"/>
    <w:basedOn w:val="Normal"/>
    <w:link w:val="BodyText2Char"/>
    <w:uiPriority w:val="99"/>
    <w:semiHidden/>
    <w:unhideWhenUsed/>
    <w:rsid w:val="007A53D6"/>
    <w:pPr>
      <w:spacing w:after="120" w:line="480" w:lineRule="auto"/>
    </w:pPr>
  </w:style>
  <w:style w:type="character" w:customStyle="1" w:styleId="BodyText2Char">
    <w:name w:val="Body Text 2 Char"/>
    <w:basedOn w:val="DefaultParagraphFont"/>
    <w:link w:val="BodyText2"/>
    <w:uiPriority w:val="99"/>
    <w:semiHidden/>
    <w:rsid w:val="007A53D6"/>
    <w:rPr>
      <w:rFonts w:asciiTheme="minorHAnsi" w:hAnsiTheme="minorHAnsi"/>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94382">
      <w:bodyDiv w:val="1"/>
      <w:marLeft w:val="0"/>
      <w:marRight w:val="0"/>
      <w:marTop w:val="0"/>
      <w:marBottom w:val="0"/>
      <w:divBdr>
        <w:top w:val="none" w:sz="0" w:space="0" w:color="auto"/>
        <w:left w:val="none" w:sz="0" w:space="0" w:color="auto"/>
        <w:bottom w:val="none" w:sz="0" w:space="0" w:color="auto"/>
        <w:right w:val="none" w:sz="0" w:space="0" w:color="auto"/>
      </w:divBdr>
    </w:div>
    <w:div w:id="969280925">
      <w:bodyDiv w:val="1"/>
      <w:marLeft w:val="0"/>
      <w:marRight w:val="0"/>
      <w:marTop w:val="0"/>
      <w:marBottom w:val="0"/>
      <w:divBdr>
        <w:top w:val="none" w:sz="0" w:space="0" w:color="auto"/>
        <w:left w:val="none" w:sz="0" w:space="0" w:color="auto"/>
        <w:bottom w:val="none" w:sz="0" w:space="0" w:color="auto"/>
        <w:right w:val="none" w:sz="0" w:space="0" w:color="auto"/>
      </w:divBdr>
    </w:div>
    <w:div w:id="1786802838">
      <w:bodyDiv w:val="1"/>
      <w:marLeft w:val="0"/>
      <w:marRight w:val="0"/>
      <w:marTop w:val="0"/>
      <w:marBottom w:val="0"/>
      <w:divBdr>
        <w:top w:val="none" w:sz="0" w:space="0" w:color="auto"/>
        <w:left w:val="none" w:sz="0" w:space="0" w:color="auto"/>
        <w:bottom w:val="none" w:sz="0" w:space="0" w:color="auto"/>
        <w:right w:val="none" w:sz="0" w:space="0" w:color="auto"/>
      </w:divBdr>
    </w:div>
    <w:div w:id="21000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tr.bc.ca/sepac/cotr_web.asp?IDNumber=1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mberley@cotr.bc.ca" TargetMode="External"/><Relationship Id="rId4" Type="http://schemas.openxmlformats.org/officeDocument/2006/relationships/settings" Target="settings.xml"/><Relationship Id="rId9" Type="http://schemas.openxmlformats.org/officeDocument/2006/relationships/hyperlink" Target="http://www.cotr.bc.ca/sepa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4356-75E8-3E4B-A6C1-894A4E60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Also, I am mostly interested in planning corporate workshops and meetings and i am doing some coordinating for workshops at th</vt:lpstr>
    </vt:vector>
  </TitlesOfParts>
  <Company>College of the Rockies</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Also, I am mostly interested in planning corporate workshops and meetings and i am doing some coordinating for workshops at th</dc:title>
  <dc:creator>Roxas-Butalid, Lourdes</dc:creator>
  <cp:lastModifiedBy>Microsoft Office User</cp:lastModifiedBy>
  <cp:revision>4</cp:revision>
  <cp:lastPrinted>2019-08-28T21:33:00Z</cp:lastPrinted>
  <dcterms:created xsi:type="dcterms:W3CDTF">2019-08-30T18:21:00Z</dcterms:created>
  <dcterms:modified xsi:type="dcterms:W3CDTF">2019-08-30T22:37:00Z</dcterms:modified>
</cp:coreProperties>
</file>